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243" w:rsidRPr="00B03784" w:rsidRDefault="0082795A" w:rsidP="00550243">
      <w:pPr>
        <w:rPr>
          <w:rFonts w:ascii="Arial" w:hAnsi="Arial" w:cs="Arial"/>
          <w:b/>
          <w:sz w:val="22"/>
          <w:szCs w:val="22"/>
          <w:u w:val="single"/>
          <w:lang w:val="es-MX"/>
        </w:rPr>
      </w:pPr>
      <w:r>
        <w:rPr>
          <w:rFonts w:ascii="Arial" w:hAnsi="Arial" w:cs="Arial"/>
          <w:b/>
          <w:sz w:val="22"/>
          <w:szCs w:val="22"/>
          <w:u w:val="single"/>
          <w:lang w:val="es-MX"/>
        </w:rPr>
        <w:t>4300</w:t>
      </w:r>
      <w:r>
        <w:rPr>
          <w:rFonts w:ascii="Arial" w:hAnsi="Arial" w:cs="Arial"/>
          <w:b/>
          <w:sz w:val="22"/>
          <w:szCs w:val="22"/>
          <w:u w:val="single"/>
          <w:lang w:val="es-MX"/>
        </w:rPr>
        <w:tab/>
      </w:r>
      <w:r w:rsidR="00550243" w:rsidRPr="00B03784">
        <w:rPr>
          <w:rFonts w:ascii="Arial" w:hAnsi="Arial" w:cs="Arial"/>
          <w:b/>
          <w:sz w:val="22"/>
          <w:szCs w:val="22"/>
          <w:u w:val="single"/>
          <w:lang w:val="es-MX"/>
        </w:rPr>
        <w:t>APORTES A CAPITALIZAR</w:t>
      </w:r>
    </w:p>
    <w:p w:rsidR="00232390" w:rsidRPr="00DB1342" w:rsidRDefault="00232390" w:rsidP="00DB1342">
      <w:pPr>
        <w:rPr>
          <w:rFonts w:ascii="Arial" w:hAnsi="Arial" w:cs="Arial"/>
          <w:sz w:val="22"/>
          <w:szCs w:val="22"/>
          <w:lang w:val="es-MX"/>
        </w:rPr>
      </w:pPr>
    </w:p>
    <w:p w:rsidR="00F60D52" w:rsidRPr="00F60D52" w:rsidRDefault="00F60D52" w:rsidP="00F60D52">
      <w:pPr>
        <w:jc w:val="both"/>
        <w:rPr>
          <w:rFonts w:ascii="Arial" w:hAnsi="Arial" w:cs="Arial"/>
          <w:sz w:val="22"/>
          <w:szCs w:val="22"/>
          <w:lang w:val="es-MX"/>
        </w:rPr>
      </w:pPr>
      <w:r w:rsidRPr="00F60D52">
        <w:rPr>
          <w:rFonts w:ascii="Arial" w:hAnsi="Arial" w:cs="Arial"/>
          <w:sz w:val="22"/>
          <w:szCs w:val="22"/>
          <w:lang w:val="es-MX"/>
        </w:rPr>
        <w:t>En esta cuenta se registran los aportes realizados por los propietarios con destino a incrementar el capital de la institución.</w:t>
      </w:r>
    </w:p>
    <w:p w:rsidR="00F60D52" w:rsidRPr="00F60D52" w:rsidRDefault="00F60D52" w:rsidP="00F60D52">
      <w:pPr>
        <w:jc w:val="both"/>
        <w:rPr>
          <w:rFonts w:ascii="Arial" w:hAnsi="Arial" w:cs="Arial"/>
          <w:sz w:val="22"/>
          <w:szCs w:val="22"/>
          <w:lang w:val="es-MX"/>
        </w:rPr>
      </w:pPr>
    </w:p>
    <w:p w:rsidR="00F60D52" w:rsidRPr="00F60D52" w:rsidRDefault="00F60D52" w:rsidP="00F60D52">
      <w:pPr>
        <w:jc w:val="both"/>
        <w:rPr>
          <w:rFonts w:ascii="Arial" w:hAnsi="Arial" w:cs="Arial"/>
          <w:sz w:val="22"/>
          <w:szCs w:val="22"/>
          <w:lang w:val="es-MX"/>
        </w:rPr>
      </w:pPr>
      <w:r w:rsidRPr="00F60D52">
        <w:rPr>
          <w:rFonts w:ascii="Arial" w:hAnsi="Arial" w:cs="Arial"/>
          <w:sz w:val="22"/>
          <w:szCs w:val="22"/>
          <w:lang w:val="es-MX"/>
        </w:rPr>
        <w:t>Los aportes de capital  en activos no financieros y activos financieros distintos del efectivo, deben contar con la aprobación de la Superintendencia de Bancos, para lo cual deberán cumplir con lo siguiente:</w:t>
      </w:r>
    </w:p>
    <w:p w:rsidR="00F60D52" w:rsidRPr="00F60D52" w:rsidRDefault="00F60D52" w:rsidP="00F60D52">
      <w:pPr>
        <w:jc w:val="both"/>
        <w:rPr>
          <w:rFonts w:ascii="Arial" w:hAnsi="Arial" w:cs="Arial"/>
          <w:sz w:val="22"/>
          <w:szCs w:val="22"/>
          <w:lang w:val="es-MX"/>
        </w:rPr>
      </w:pPr>
    </w:p>
    <w:p w:rsidR="00F60D52" w:rsidRPr="00F60D52" w:rsidRDefault="00F60D52" w:rsidP="00F60D52">
      <w:pPr>
        <w:jc w:val="both"/>
        <w:rPr>
          <w:rFonts w:ascii="Arial" w:hAnsi="Arial" w:cs="Arial"/>
          <w:sz w:val="22"/>
          <w:szCs w:val="22"/>
          <w:lang w:val="es-MX"/>
        </w:rPr>
      </w:pPr>
      <w:r w:rsidRPr="00F60D52">
        <w:rPr>
          <w:rFonts w:ascii="Arial" w:hAnsi="Arial" w:cs="Arial"/>
          <w:sz w:val="22"/>
          <w:szCs w:val="22"/>
          <w:lang w:val="es-MX"/>
        </w:rPr>
        <w:t xml:space="preserve">Los aportes de capital efectuados en activos no financieros se deben registrar valuando los mismos a su valor razonable, según lo establecido en la NIIF correspondiente, el cual debe estar respaldado como mínimo por los informes de dos peritos independientes, tomando como base para su registro el de menor valor.  </w:t>
      </w:r>
    </w:p>
    <w:p w:rsidR="00F60D52" w:rsidRPr="00F60D52" w:rsidRDefault="00F60D52" w:rsidP="00F60D52">
      <w:pPr>
        <w:jc w:val="both"/>
        <w:rPr>
          <w:rFonts w:ascii="Arial" w:hAnsi="Arial" w:cs="Arial"/>
          <w:sz w:val="22"/>
          <w:szCs w:val="22"/>
          <w:lang w:val="es-MX"/>
        </w:rPr>
      </w:pPr>
    </w:p>
    <w:p w:rsidR="003B2DF9" w:rsidRPr="0027070D" w:rsidRDefault="00F60D52" w:rsidP="00EC3E3E">
      <w:pPr>
        <w:jc w:val="both"/>
        <w:rPr>
          <w:rFonts w:ascii="Arial" w:hAnsi="Arial" w:cs="Arial"/>
          <w:sz w:val="22"/>
          <w:szCs w:val="22"/>
          <w:lang w:val="es-MX"/>
        </w:rPr>
      </w:pPr>
      <w:r w:rsidRPr="00F60D52">
        <w:rPr>
          <w:rFonts w:ascii="Arial" w:hAnsi="Arial" w:cs="Arial"/>
          <w:sz w:val="22"/>
          <w:szCs w:val="22"/>
          <w:lang w:val="es-MX"/>
        </w:rPr>
        <w:t>Los aportes de capital en activos financieros distintos de efectivo, se registrarán valuando los mismos conforme lo establecido en la NIIF y/o Norma correspondiente. El Superintendente de Bancos para pronunciarse al respecto, puede requerir un informe de un especialista independiente.</w:t>
      </w:r>
    </w:p>
    <w:p w:rsidR="003B2DF9" w:rsidRDefault="003B2DF9" w:rsidP="00EC3E3E">
      <w:pPr>
        <w:jc w:val="both"/>
        <w:rPr>
          <w:rFonts w:ascii="Arial" w:hAnsi="Arial" w:cs="Arial"/>
          <w:sz w:val="22"/>
          <w:szCs w:val="22"/>
          <w:lang w:val="es-MX"/>
        </w:rPr>
      </w:pPr>
    </w:p>
    <w:p w:rsidR="00A008B6" w:rsidRDefault="0082795A" w:rsidP="00EC3E3E">
      <w:pPr>
        <w:jc w:val="both"/>
        <w:rPr>
          <w:rFonts w:ascii="Arial" w:hAnsi="Arial" w:cs="Arial"/>
          <w:sz w:val="22"/>
          <w:szCs w:val="22"/>
          <w:lang w:val="es-MX"/>
        </w:rPr>
      </w:pPr>
      <w:r>
        <w:rPr>
          <w:rFonts w:ascii="Arial" w:hAnsi="Arial" w:cs="Arial"/>
          <w:sz w:val="22"/>
          <w:szCs w:val="22"/>
          <w:lang w:val="es-MX"/>
        </w:rPr>
        <w:t xml:space="preserve">Las </w:t>
      </w:r>
      <w:r w:rsidR="00A008B6">
        <w:rPr>
          <w:rFonts w:ascii="Arial" w:hAnsi="Arial" w:cs="Arial"/>
          <w:sz w:val="22"/>
          <w:szCs w:val="22"/>
          <w:lang w:val="es-MX"/>
        </w:rPr>
        <w:t>cuentas que componen esta cuenta son las siguientes:</w:t>
      </w:r>
    </w:p>
    <w:p w:rsidR="00EE0FAE" w:rsidRDefault="00EE0FAE" w:rsidP="00EC3E3E">
      <w:pPr>
        <w:jc w:val="both"/>
        <w:rPr>
          <w:rFonts w:ascii="Arial" w:hAnsi="Arial" w:cs="Arial"/>
          <w:b/>
          <w:color w:val="000000" w:themeColor="text1"/>
          <w:sz w:val="22"/>
          <w:szCs w:val="22"/>
          <w:lang w:val="es-MX"/>
        </w:rPr>
      </w:pPr>
    </w:p>
    <w:p w:rsidR="00E268F1" w:rsidRDefault="00E268F1" w:rsidP="00EC3E3E">
      <w:pPr>
        <w:jc w:val="both"/>
        <w:rPr>
          <w:rFonts w:ascii="Arial" w:hAnsi="Arial" w:cs="Arial"/>
          <w:b/>
          <w:color w:val="000000" w:themeColor="text1"/>
          <w:sz w:val="22"/>
          <w:szCs w:val="22"/>
          <w:lang w:val="es-MX"/>
        </w:rPr>
      </w:pPr>
      <w:r>
        <w:rPr>
          <w:rFonts w:ascii="Arial" w:hAnsi="Arial" w:cs="Arial"/>
          <w:b/>
          <w:color w:val="000000" w:themeColor="text1"/>
          <w:sz w:val="22"/>
          <w:szCs w:val="22"/>
          <w:lang w:val="es-MX"/>
        </w:rPr>
        <w:t>4301.00.000</w:t>
      </w:r>
      <w:r>
        <w:rPr>
          <w:rFonts w:ascii="Arial" w:hAnsi="Arial" w:cs="Arial"/>
          <w:b/>
          <w:color w:val="000000" w:themeColor="text1"/>
          <w:sz w:val="22"/>
          <w:szCs w:val="22"/>
          <w:lang w:val="es-MX"/>
        </w:rPr>
        <w:tab/>
        <w:t>PRIMAS DE EMISION</w:t>
      </w:r>
    </w:p>
    <w:p w:rsidR="00E268F1" w:rsidRDefault="00E268F1" w:rsidP="00EC3E3E">
      <w:pPr>
        <w:jc w:val="both"/>
        <w:rPr>
          <w:rFonts w:ascii="Arial" w:hAnsi="Arial" w:cs="Arial"/>
          <w:b/>
          <w:color w:val="000000" w:themeColor="text1"/>
          <w:sz w:val="22"/>
          <w:szCs w:val="22"/>
          <w:lang w:val="es-MX"/>
        </w:rPr>
      </w:pPr>
      <w:r>
        <w:rPr>
          <w:rFonts w:ascii="Arial" w:hAnsi="Arial" w:cs="Arial"/>
          <w:b/>
          <w:color w:val="000000" w:themeColor="text1"/>
          <w:sz w:val="22"/>
          <w:szCs w:val="22"/>
          <w:lang w:val="es-MX"/>
        </w:rPr>
        <w:t>4302.00.000</w:t>
      </w:r>
      <w:r>
        <w:rPr>
          <w:rFonts w:ascii="Arial" w:hAnsi="Arial" w:cs="Arial"/>
          <w:b/>
          <w:color w:val="000000" w:themeColor="text1"/>
          <w:sz w:val="22"/>
          <w:szCs w:val="22"/>
          <w:lang w:val="es-MX"/>
        </w:rPr>
        <w:tab/>
        <w:t>APORTES PARA INCREMENTOS DE CAPITAL</w:t>
      </w:r>
    </w:p>
    <w:p w:rsidR="007829B3" w:rsidRPr="007829B3" w:rsidRDefault="007829B3" w:rsidP="007829B3">
      <w:pPr>
        <w:ind w:left="1418" w:hanging="1418"/>
        <w:jc w:val="both"/>
        <w:rPr>
          <w:rFonts w:ascii="Arial" w:hAnsi="Arial" w:cs="Arial"/>
          <w:b/>
          <w:color w:val="FF0000"/>
          <w:sz w:val="22"/>
          <w:szCs w:val="22"/>
          <w:lang w:val="es-MX"/>
        </w:rPr>
      </w:pPr>
      <w:r w:rsidRPr="007829B3">
        <w:rPr>
          <w:rFonts w:ascii="Arial" w:hAnsi="Arial" w:cs="Arial"/>
          <w:b/>
          <w:color w:val="FF0000"/>
          <w:sz w:val="22"/>
          <w:szCs w:val="22"/>
          <w:lang w:val="es-MX"/>
        </w:rPr>
        <w:t>4303.00.000</w:t>
      </w:r>
      <w:r w:rsidRPr="007829B3">
        <w:rPr>
          <w:rFonts w:ascii="Arial" w:hAnsi="Arial" w:cs="Arial"/>
          <w:b/>
          <w:color w:val="FF0000"/>
          <w:sz w:val="22"/>
          <w:szCs w:val="22"/>
          <w:lang w:val="es-MX"/>
        </w:rPr>
        <w:tab/>
        <w:t>SUPERAVIT POR REVALUACION DE PROPIEDADES, PLANTA Y EQUIPOS</w:t>
      </w:r>
    </w:p>
    <w:p w:rsidR="00E268F1" w:rsidRDefault="00E268F1" w:rsidP="00EC3E3E">
      <w:pPr>
        <w:jc w:val="both"/>
        <w:rPr>
          <w:rFonts w:ascii="Arial" w:hAnsi="Arial" w:cs="Arial"/>
          <w:b/>
          <w:color w:val="000000" w:themeColor="text1"/>
          <w:sz w:val="22"/>
          <w:szCs w:val="22"/>
          <w:lang w:val="es-MX"/>
        </w:rPr>
      </w:pPr>
    </w:p>
    <w:p w:rsidR="00E268F1" w:rsidRPr="00E268F1" w:rsidRDefault="00E268F1" w:rsidP="00E268F1">
      <w:pPr>
        <w:jc w:val="both"/>
        <w:rPr>
          <w:rFonts w:ascii="Arial" w:hAnsi="Arial" w:cs="Arial"/>
          <w:b/>
          <w:color w:val="000000" w:themeColor="text1"/>
          <w:sz w:val="22"/>
          <w:szCs w:val="22"/>
          <w:u w:val="single"/>
          <w:lang w:val="es-MX"/>
        </w:rPr>
      </w:pPr>
      <w:r w:rsidRPr="00E268F1">
        <w:rPr>
          <w:rFonts w:ascii="Arial" w:hAnsi="Arial" w:cs="Arial"/>
          <w:b/>
          <w:color w:val="000000" w:themeColor="text1"/>
          <w:sz w:val="22"/>
          <w:szCs w:val="22"/>
          <w:u w:val="single"/>
          <w:lang w:val="es-MX"/>
        </w:rPr>
        <w:t>4301.00.000  Primas de emisión</w:t>
      </w:r>
    </w:p>
    <w:p w:rsidR="0082795A" w:rsidRDefault="0082795A" w:rsidP="0082795A">
      <w:pPr>
        <w:jc w:val="both"/>
        <w:rPr>
          <w:rFonts w:ascii="Arial" w:hAnsi="Arial" w:cs="Arial"/>
          <w:sz w:val="22"/>
          <w:szCs w:val="22"/>
          <w:lang w:val="es-MX"/>
        </w:rPr>
      </w:pPr>
    </w:p>
    <w:p w:rsidR="0082795A" w:rsidRPr="0027070D" w:rsidRDefault="0082795A" w:rsidP="0082795A">
      <w:pPr>
        <w:jc w:val="both"/>
        <w:rPr>
          <w:rFonts w:ascii="Arial" w:hAnsi="Arial" w:cs="Arial"/>
          <w:sz w:val="22"/>
          <w:szCs w:val="22"/>
          <w:lang w:val="es-MX"/>
        </w:rPr>
      </w:pPr>
      <w:r>
        <w:rPr>
          <w:rFonts w:ascii="Arial" w:hAnsi="Arial" w:cs="Arial"/>
          <w:sz w:val="22"/>
          <w:szCs w:val="22"/>
          <w:lang w:val="es-MX"/>
        </w:rPr>
        <w:t xml:space="preserve">En esta </w:t>
      </w:r>
      <w:r w:rsidRPr="0027070D">
        <w:rPr>
          <w:rFonts w:ascii="Arial" w:hAnsi="Arial" w:cs="Arial"/>
          <w:sz w:val="22"/>
          <w:szCs w:val="22"/>
          <w:lang w:val="es-MX"/>
        </w:rPr>
        <w:t>cuenta se registran los importes recibidos por encima del valor nominal de las acciones emitidas al ser colocadas sobre la par.</w:t>
      </w:r>
    </w:p>
    <w:p w:rsidR="0082795A" w:rsidRPr="0027070D" w:rsidRDefault="0082795A" w:rsidP="0082795A">
      <w:pPr>
        <w:jc w:val="both"/>
        <w:rPr>
          <w:rFonts w:ascii="Arial" w:hAnsi="Arial" w:cs="Arial"/>
          <w:sz w:val="22"/>
          <w:szCs w:val="22"/>
          <w:lang w:val="es-MX"/>
        </w:rPr>
      </w:pPr>
    </w:p>
    <w:p w:rsidR="0082795A" w:rsidRPr="0027070D" w:rsidRDefault="0082795A" w:rsidP="0082795A">
      <w:pPr>
        <w:tabs>
          <w:tab w:val="left" w:pos="-720"/>
          <w:tab w:val="left" w:pos="0"/>
          <w:tab w:val="left" w:pos="1080"/>
          <w:tab w:val="left" w:pos="1440"/>
        </w:tabs>
        <w:suppressAutoHyphens/>
        <w:spacing w:line="240" w:lineRule="atLeast"/>
        <w:jc w:val="both"/>
        <w:rPr>
          <w:rFonts w:ascii="Verdana" w:hAnsi="Verdana" w:cs="Arial"/>
          <w:lang w:val="es-MX"/>
        </w:rPr>
      </w:pPr>
      <w:r w:rsidRPr="0027070D">
        <w:rPr>
          <w:rFonts w:ascii="Arial" w:hAnsi="Arial" w:cs="Arial"/>
          <w:sz w:val="22"/>
          <w:szCs w:val="22"/>
          <w:lang w:val="es-MX"/>
        </w:rPr>
        <w:t>Las primas representan el importe en exceso, entre el pago de las acciones suscritas y el valor nominal de las mismas</w:t>
      </w:r>
      <w:r w:rsidRPr="0027070D">
        <w:rPr>
          <w:rFonts w:ascii="Verdana" w:hAnsi="Verdana" w:cs="Arial"/>
          <w:lang w:val="es-MX"/>
        </w:rPr>
        <w:t xml:space="preserve">. </w:t>
      </w:r>
    </w:p>
    <w:p w:rsidR="0082795A" w:rsidRDefault="0082795A" w:rsidP="00EC3E3E">
      <w:pPr>
        <w:jc w:val="both"/>
        <w:rPr>
          <w:rFonts w:ascii="Arial" w:hAnsi="Arial" w:cs="Arial"/>
          <w:b/>
          <w:color w:val="000000" w:themeColor="text1"/>
          <w:sz w:val="22"/>
          <w:szCs w:val="22"/>
          <w:lang w:val="es-MX"/>
        </w:rPr>
      </w:pPr>
    </w:p>
    <w:p w:rsidR="0069724B" w:rsidRPr="00E268F1" w:rsidRDefault="0082795A" w:rsidP="00EC3E3E">
      <w:pPr>
        <w:jc w:val="both"/>
        <w:rPr>
          <w:rFonts w:ascii="Arial" w:hAnsi="Arial" w:cs="Arial"/>
          <w:b/>
          <w:color w:val="000000" w:themeColor="text1"/>
          <w:sz w:val="22"/>
          <w:szCs w:val="22"/>
          <w:u w:val="single"/>
          <w:lang w:val="es-MX"/>
        </w:rPr>
      </w:pPr>
      <w:r w:rsidRPr="00E268F1">
        <w:rPr>
          <w:rFonts w:ascii="Arial" w:hAnsi="Arial" w:cs="Arial"/>
          <w:b/>
          <w:color w:val="000000" w:themeColor="text1"/>
          <w:sz w:val="22"/>
          <w:szCs w:val="22"/>
          <w:u w:val="single"/>
          <w:lang w:val="es-MX"/>
        </w:rPr>
        <w:t>4302</w:t>
      </w:r>
      <w:r w:rsidR="0069724B" w:rsidRPr="00E268F1">
        <w:rPr>
          <w:rFonts w:ascii="Arial" w:hAnsi="Arial" w:cs="Arial"/>
          <w:b/>
          <w:color w:val="000000" w:themeColor="text1"/>
          <w:sz w:val="22"/>
          <w:szCs w:val="22"/>
          <w:u w:val="single"/>
          <w:lang w:val="es-MX"/>
        </w:rPr>
        <w:t>.0</w:t>
      </w:r>
      <w:r w:rsidRPr="00E268F1">
        <w:rPr>
          <w:rFonts w:ascii="Arial" w:hAnsi="Arial" w:cs="Arial"/>
          <w:b/>
          <w:color w:val="000000" w:themeColor="text1"/>
          <w:sz w:val="22"/>
          <w:szCs w:val="22"/>
          <w:u w:val="single"/>
          <w:lang w:val="es-MX"/>
        </w:rPr>
        <w:t>0</w:t>
      </w:r>
      <w:r w:rsidR="0069724B" w:rsidRPr="00E268F1">
        <w:rPr>
          <w:rFonts w:ascii="Arial" w:hAnsi="Arial" w:cs="Arial"/>
          <w:b/>
          <w:color w:val="000000" w:themeColor="text1"/>
          <w:sz w:val="22"/>
          <w:szCs w:val="22"/>
          <w:u w:val="single"/>
          <w:lang w:val="es-MX"/>
        </w:rPr>
        <w:t>.000  Aportes para incrementos de capital</w:t>
      </w:r>
    </w:p>
    <w:p w:rsidR="0069724B" w:rsidRDefault="0069724B" w:rsidP="00EC3E3E">
      <w:pPr>
        <w:jc w:val="both"/>
        <w:rPr>
          <w:rFonts w:ascii="Arial" w:hAnsi="Arial" w:cs="Arial"/>
          <w:color w:val="000000" w:themeColor="text1"/>
          <w:sz w:val="22"/>
          <w:szCs w:val="22"/>
          <w:lang w:val="es-MX"/>
        </w:rPr>
      </w:pPr>
    </w:p>
    <w:p w:rsidR="003B2DF9" w:rsidRPr="0027070D" w:rsidRDefault="0082795A" w:rsidP="00EC3E3E">
      <w:pPr>
        <w:jc w:val="both"/>
        <w:rPr>
          <w:rFonts w:ascii="Arial" w:hAnsi="Arial" w:cs="Arial"/>
          <w:sz w:val="22"/>
          <w:szCs w:val="22"/>
          <w:lang w:val="es-MX"/>
        </w:rPr>
      </w:pPr>
      <w:r>
        <w:rPr>
          <w:rFonts w:ascii="Arial" w:hAnsi="Arial" w:cs="Arial"/>
          <w:sz w:val="22"/>
          <w:szCs w:val="22"/>
          <w:lang w:val="es-MX"/>
        </w:rPr>
        <w:t xml:space="preserve">En esta </w:t>
      </w:r>
      <w:r w:rsidR="003B2DF9" w:rsidRPr="0027070D">
        <w:rPr>
          <w:rFonts w:ascii="Arial" w:hAnsi="Arial" w:cs="Arial"/>
          <w:sz w:val="22"/>
          <w:szCs w:val="22"/>
          <w:lang w:val="es-MX"/>
        </w:rPr>
        <w:t>cuenta se registran los importes aportados por los propietarios con destino a increment</w:t>
      </w:r>
      <w:r w:rsidR="003B2DF9">
        <w:rPr>
          <w:rFonts w:ascii="Arial" w:hAnsi="Arial" w:cs="Arial"/>
          <w:sz w:val="22"/>
          <w:szCs w:val="22"/>
          <w:lang w:val="es-MX"/>
        </w:rPr>
        <w:t>ar el capital de la institución.</w:t>
      </w:r>
    </w:p>
    <w:p w:rsidR="00D91E44" w:rsidRDefault="00D91E44" w:rsidP="002A3E2F">
      <w:pPr>
        <w:rPr>
          <w:rFonts w:ascii="Arial" w:hAnsi="Arial" w:cs="Arial"/>
          <w:b/>
          <w:sz w:val="22"/>
          <w:szCs w:val="22"/>
          <w:lang w:val="es-MX"/>
        </w:rPr>
      </w:pPr>
    </w:p>
    <w:p w:rsidR="007829B3" w:rsidRPr="007829B3" w:rsidRDefault="007829B3" w:rsidP="007829B3">
      <w:pPr>
        <w:jc w:val="both"/>
        <w:rPr>
          <w:rFonts w:ascii="Arial" w:hAnsi="Arial" w:cs="Arial"/>
          <w:b/>
          <w:color w:val="FF0000"/>
          <w:sz w:val="22"/>
          <w:szCs w:val="22"/>
          <w:u w:val="single"/>
          <w:lang w:val="es-MX"/>
        </w:rPr>
      </w:pPr>
      <w:r w:rsidRPr="007829B3">
        <w:rPr>
          <w:rFonts w:ascii="Arial" w:hAnsi="Arial" w:cs="Arial"/>
          <w:b/>
          <w:color w:val="FF0000"/>
          <w:sz w:val="22"/>
          <w:szCs w:val="22"/>
          <w:u w:val="single"/>
          <w:lang w:val="es-MX"/>
        </w:rPr>
        <w:t>4303.00.000  Superávit por revaluación de propiedades, planta y equipos</w:t>
      </w:r>
    </w:p>
    <w:p w:rsidR="007829B3" w:rsidRPr="007829B3" w:rsidRDefault="007829B3" w:rsidP="007829B3">
      <w:pPr>
        <w:tabs>
          <w:tab w:val="left" w:pos="-720"/>
          <w:tab w:val="left" w:pos="0"/>
        </w:tabs>
        <w:suppressAutoHyphens/>
        <w:spacing w:line="240" w:lineRule="atLeast"/>
        <w:jc w:val="both"/>
        <w:rPr>
          <w:rFonts w:ascii="Arial" w:hAnsi="Arial" w:cs="Arial"/>
          <w:color w:val="FF0000"/>
          <w:sz w:val="22"/>
          <w:szCs w:val="22"/>
          <w:lang w:val="es-NI"/>
        </w:rPr>
      </w:pPr>
    </w:p>
    <w:p w:rsidR="007829B3" w:rsidRPr="005602A9" w:rsidRDefault="007829B3" w:rsidP="007829B3">
      <w:pPr>
        <w:tabs>
          <w:tab w:val="left" w:pos="-720"/>
          <w:tab w:val="left" w:pos="0"/>
        </w:tabs>
        <w:suppressAutoHyphens/>
        <w:spacing w:line="240" w:lineRule="atLeast"/>
        <w:jc w:val="both"/>
        <w:rPr>
          <w:rFonts w:ascii="Arial" w:hAnsi="Arial" w:cs="Arial"/>
          <w:color w:val="FF0000"/>
          <w:sz w:val="22"/>
          <w:szCs w:val="22"/>
          <w:lang w:val="es-NI"/>
        </w:rPr>
      </w:pPr>
      <w:r>
        <w:rPr>
          <w:rFonts w:ascii="Arial" w:hAnsi="Arial" w:cs="Arial"/>
          <w:color w:val="FF0000"/>
          <w:sz w:val="22"/>
          <w:szCs w:val="22"/>
          <w:lang w:val="es-NI"/>
        </w:rPr>
        <w:t>En esta cuenta se registran las transferencias de los saldos provenientes de la cuenta del Otro Resultado Integral denominada “Ajuste por revaluaciones de propiedades, planta y equipo”.</w:t>
      </w:r>
      <w:r w:rsidR="003633DA">
        <w:rPr>
          <w:rFonts w:ascii="Arial" w:hAnsi="Arial" w:cs="Arial"/>
          <w:color w:val="FF0000"/>
          <w:sz w:val="22"/>
          <w:szCs w:val="22"/>
          <w:lang w:val="es-NI"/>
        </w:rPr>
        <w:t xml:space="preserve"> </w:t>
      </w:r>
      <w:r w:rsidR="003633DA">
        <w:rPr>
          <w:rStyle w:val="Refdenotaalpie"/>
          <w:rFonts w:eastAsiaTheme="majorEastAsia"/>
        </w:rPr>
        <w:t>1</w:t>
      </w:r>
    </w:p>
    <w:p w:rsidR="007829B3" w:rsidRDefault="007829B3" w:rsidP="002A3E2F">
      <w:pPr>
        <w:rPr>
          <w:rFonts w:ascii="Arial" w:hAnsi="Arial" w:cs="Arial"/>
          <w:b/>
          <w:sz w:val="22"/>
          <w:szCs w:val="22"/>
          <w:lang w:val="es-MX"/>
        </w:rPr>
      </w:pPr>
    </w:p>
    <w:p w:rsidR="003633DA" w:rsidRPr="003633DA" w:rsidRDefault="003633DA" w:rsidP="003633DA">
      <w:pPr>
        <w:pStyle w:val="Textonotapie"/>
        <w:rPr>
          <w:lang w:val="es-NI"/>
        </w:rPr>
      </w:pPr>
      <w:bookmarkStart w:id="0" w:name="_GoBack"/>
      <w:r>
        <w:rPr>
          <w:rStyle w:val="Refdenotaalpie"/>
          <w:rFonts w:eastAsiaTheme="majorEastAsia"/>
        </w:rPr>
        <w:t>1</w:t>
      </w:r>
      <w:r w:rsidR="00325E8B">
        <w:rPr>
          <w:rFonts w:eastAsiaTheme="majorEastAsia"/>
        </w:rPr>
        <w:t xml:space="preserve"> </w:t>
      </w:r>
      <w:r>
        <w:rPr>
          <w:rFonts w:ascii="TimesNewRomanPSMT" w:hAnsi="TimesNewRomanPSMT" w:cs="TimesNewRomanPSMT"/>
          <w:sz w:val="19"/>
          <w:szCs w:val="19"/>
          <w:lang w:val="es-NI"/>
        </w:rPr>
        <w:t>Reforma conforme a comunicación “DS-IS-2110-11-20</w:t>
      </w:r>
      <w:r>
        <w:rPr>
          <w:rFonts w:ascii="TimesNewRomanPSMT" w:hAnsi="TimesNewRomanPSMT" w:cs="TimesNewRomanPSMT"/>
          <w:sz w:val="19"/>
          <w:szCs w:val="19"/>
          <w:lang w:val="es-NI"/>
        </w:rPr>
        <w:t>19/LAME” del 6 de noviembre 2019</w:t>
      </w:r>
      <w:bookmarkEnd w:id="0"/>
    </w:p>
    <w:sectPr w:rsidR="003633DA" w:rsidRPr="003633DA" w:rsidSect="00FB277C">
      <w:headerReference w:type="default" r:id="rId8"/>
      <w:footerReference w:type="default" r:id="rId9"/>
      <w:pgSz w:w="12240" w:h="15840" w:code="1"/>
      <w:pgMar w:top="1417" w:right="1325" w:bottom="1417"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54A" w:rsidRDefault="008B154A" w:rsidP="00B84E02">
      <w:r>
        <w:separator/>
      </w:r>
    </w:p>
  </w:endnote>
  <w:endnote w:type="continuationSeparator" w:id="0">
    <w:p w:rsidR="008B154A" w:rsidRDefault="008B154A" w:rsidP="00B84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77"/>
      <w:gridCol w:w="2117"/>
      <w:gridCol w:w="2048"/>
      <w:gridCol w:w="1381"/>
      <w:gridCol w:w="1507"/>
    </w:tblGrid>
    <w:tr w:rsidR="00AB1F02" w:rsidRPr="00F307EE" w:rsidTr="000E0E2B">
      <w:trPr>
        <w:trHeight w:val="272"/>
      </w:trPr>
      <w:tc>
        <w:tcPr>
          <w:tcW w:w="1260" w:type="pct"/>
        </w:tcPr>
        <w:p w:rsidR="00AB1F02" w:rsidRPr="00F307EE" w:rsidRDefault="00AB1F02" w:rsidP="000E0E2B">
          <w:pPr>
            <w:rPr>
              <w:rFonts w:ascii="Arial" w:hAnsi="Arial" w:cs="Arial"/>
              <w:sz w:val="18"/>
            </w:rPr>
          </w:pPr>
        </w:p>
      </w:tc>
      <w:tc>
        <w:tcPr>
          <w:tcW w:w="1122" w:type="pct"/>
        </w:tcPr>
        <w:p w:rsidR="00AB1F02" w:rsidRPr="00F307EE" w:rsidRDefault="00AB1F02" w:rsidP="00E23AC7">
          <w:pPr>
            <w:pStyle w:val="Piedepgina"/>
            <w:rPr>
              <w:rFonts w:ascii="Arial" w:hAnsi="Arial" w:cs="Arial"/>
              <w:sz w:val="18"/>
            </w:rPr>
          </w:pPr>
        </w:p>
      </w:tc>
      <w:tc>
        <w:tcPr>
          <w:tcW w:w="1086" w:type="pct"/>
        </w:tcPr>
        <w:p w:rsidR="00AB1F02" w:rsidRPr="00F307EE" w:rsidRDefault="00AB1F02" w:rsidP="00E23AC7">
          <w:pPr>
            <w:pStyle w:val="Piedepgina"/>
            <w:rPr>
              <w:rFonts w:ascii="Arial" w:hAnsi="Arial" w:cs="Arial"/>
              <w:sz w:val="18"/>
            </w:rPr>
          </w:pPr>
        </w:p>
      </w:tc>
      <w:tc>
        <w:tcPr>
          <w:tcW w:w="732" w:type="pct"/>
        </w:tcPr>
        <w:p w:rsidR="00AB1F02" w:rsidRPr="00F307EE" w:rsidRDefault="00AB1F02" w:rsidP="00E23AC7">
          <w:pPr>
            <w:pStyle w:val="Piedepgina"/>
            <w:rPr>
              <w:rFonts w:ascii="Arial" w:hAnsi="Arial" w:cs="Arial"/>
              <w:sz w:val="18"/>
            </w:rPr>
          </w:pPr>
        </w:p>
      </w:tc>
      <w:tc>
        <w:tcPr>
          <w:tcW w:w="799" w:type="pct"/>
          <w:vAlign w:val="center"/>
        </w:tcPr>
        <w:p w:rsidR="00AB1F02" w:rsidRPr="00F307EE" w:rsidRDefault="00AB1F02" w:rsidP="00E23AC7">
          <w:pPr>
            <w:pStyle w:val="Piedepgina"/>
            <w:jc w:val="center"/>
            <w:rPr>
              <w:rFonts w:ascii="Arial" w:hAnsi="Arial" w:cs="Arial"/>
              <w:sz w:val="18"/>
            </w:rPr>
          </w:pPr>
        </w:p>
      </w:tc>
    </w:tr>
  </w:tbl>
  <w:p w:rsidR="00EA357C" w:rsidRDefault="005F1979">
    <w:pPr>
      <w:pStyle w:val="Piedepgina"/>
    </w:pPr>
    <w:r>
      <w:rPr>
        <w:noProof/>
        <w:color w:val="1F497D" w:themeColor="text2"/>
        <w:sz w:val="26"/>
        <w:szCs w:val="26"/>
        <w:lang w:val="es-NI" w:eastAsia="es-NI"/>
      </w:rPr>
      <w:drawing>
        <wp:inline distT="0" distB="0" distL="0" distR="0" wp14:anchorId="7D75C77B" wp14:editId="2A72B458">
          <wp:extent cx="5612130" cy="714512"/>
          <wp:effectExtent l="0" t="0" r="762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71451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54A" w:rsidRDefault="008B154A" w:rsidP="00B84E02">
      <w:r>
        <w:separator/>
      </w:r>
    </w:p>
  </w:footnote>
  <w:footnote w:type="continuationSeparator" w:id="0">
    <w:p w:rsidR="008B154A" w:rsidRDefault="008B154A" w:rsidP="00B84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57C" w:rsidRDefault="00F11D10" w:rsidP="00AB1F02">
    <w:pPr>
      <w:pStyle w:val="Encabezado"/>
      <w:rPr>
        <w:lang w:val="es-NI"/>
      </w:rPr>
    </w:pPr>
    <w:r>
      <w:rPr>
        <w:noProof/>
        <w:lang w:val="es-NI" w:eastAsia="es-NI"/>
      </w:rPr>
      <w:drawing>
        <wp:anchor distT="0" distB="0" distL="114300" distR="114300" simplePos="0" relativeHeight="251659264" behindDoc="1" locked="0" layoutInCell="1" allowOverlap="1" wp14:anchorId="4C944625" wp14:editId="6F53D095">
          <wp:simplePos x="0" y="0"/>
          <wp:positionH relativeFrom="page">
            <wp:posOffset>-229262</wp:posOffset>
          </wp:positionH>
          <wp:positionV relativeFrom="paragraph">
            <wp:posOffset>-158998</wp:posOffset>
          </wp:positionV>
          <wp:extent cx="7768588" cy="1434903"/>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8588" cy="1434903"/>
                  </a:xfrm>
                  <a:prstGeom prst="rect">
                    <a:avLst/>
                  </a:prstGeom>
                </pic:spPr>
              </pic:pic>
            </a:graphicData>
          </a:graphic>
          <wp14:sizeRelH relativeFrom="page">
            <wp14:pctWidth>0</wp14:pctWidth>
          </wp14:sizeRelH>
          <wp14:sizeRelV relativeFrom="page">
            <wp14:pctHeight>0</wp14:pctHeight>
          </wp14:sizeRelV>
        </wp:anchor>
      </w:drawing>
    </w:r>
  </w:p>
  <w:p w:rsidR="00497A76" w:rsidRDefault="00497A76" w:rsidP="00AB1F02">
    <w:pPr>
      <w:pStyle w:val="Encabezado"/>
      <w:rPr>
        <w:lang w:val="es-NI"/>
      </w:rPr>
    </w:pPr>
  </w:p>
  <w:p w:rsidR="00AB1F02" w:rsidRDefault="00AB1F02" w:rsidP="00AB1F02">
    <w:pPr>
      <w:pStyle w:val="Encabezado"/>
      <w:rPr>
        <w:lang w:val="es-NI"/>
      </w:rPr>
    </w:pPr>
  </w:p>
  <w:p w:rsidR="00AB1F02" w:rsidRDefault="00AB1F02" w:rsidP="00AB1F02">
    <w:pPr>
      <w:pStyle w:val="Encabezado"/>
      <w:rPr>
        <w:lang w:val="es-NI"/>
      </w:rPr>
    </w:pPr>
  </w:p>
  <w:p w:rsidR="00AB1F02" w:rsidRDefault="00AB1F02" w:rsidP="00AB1F02">
    <w:pPr>
      <w:pStyle w:val="Encabezado"/>
      <w:rPr>
        <w:lang w:val="es-NI"/>
      </w:rPr>
    </w:pPr>
  </w:p>
  <w:p w:rsidR="00AB1F02" w:rsidRPr="00AB1F02" w:rsidRDefault="00AB1F02" w:rsidP="00AB1F02">
    <w:pPr>
      <w:pStyle w:val="Encabezado"/>
      <w:rPr>
        <w:lang w:val="es-N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6995"/>
    <w:multiLevelType w:val="hybridMultilevel"/>
    <w:tmpl w:val="6ED8AC1E"/>
    <w:lvl w:ilvl="0" w:tplc="96E65DD0">
      <w:start w:val="1"/>
      <w:numFmt w:val="low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EB275A"/>
    <w:multiLevelType w:val="hybridMultilevel"/>
    <w:tmpl w:val="A6FC7BCE"/>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D5067FD"/>
    <w:multiLevelType w:val="hybridMultilevel"/>
    <w:tmpl w:val="D9E847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2157093"/>
    <w:multiLevelType w:val="hybridMultilevel"/>
    <w:tmpl w:val="F4B8F70A"/>
    <w:lvl w:ilvl="0" w:tplc="2FC0424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3723925"/>
    <w:multiLevelType w:val="hybridMultilevel"/>
    <w:tmpl w:val="DE26FD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6185162"/>
    <w:multiLevelType w:val="hybridMultilevel"/>
    <w:tmpl w:val="1186B9B0"/>
    <w:lvl w:ilvl="0" w:tplc="30AED29E">
      <w:start w:val="1"/>
      <w:numFmt w:val="decimal"/>
      <w:pStyle w:val="Esti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1F5F82"/>
    <w:multiLevelType w:val="hybridMultilevel"/>
    <w:tmpl w:val="A0F2EE5E"/>
    <w:lvl w:ilvl="0" w:tplc="ADF86E6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FEC4A82"/>
    <w:multiLevelType w:val="hybridMultilevel"/>
    <w:tmpl w:val="2D126FA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4B56041"/>
    <w:multiLevelType w:val="hybridMultilevel"/>
    <w:tmpl w:val="2CDA29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79712B1"/>
    <w:multiLevelType w:val="hybridMultilevel"/>
    <w:tmpl w:val="A9E8B0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1472ECB"/>
    <w:multiLevelType w:val="hybridMultilevel"/>
    <w:tmpl w:val="C688E3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1841F8F"/>
    <w:multiLevelType w:val="hybridMultilevel"/>
    <w:tmpl w:val="2F7E3D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4A81D89"/>
    <w:multiLevelType w:val="hybridMultilevel"/>
    <w:tmpl w:val="6A76A3D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7B651E5"/>
    <w:multiLevelType w:val="hybridMultilevel"/>
    <w:tmpl w:val="26EEE4B0"/>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B3B6BD4"/>
    <w:multiLevelType w:val="hybridMultilevel"/>
    <w:tmpl w:val="177AF962"/>
    <w:lvl w:ilvl="0" w:tplc="96E65DD0">
      <w:start w:val="1"/>
      <w:numFmt w:val="lowerLetter"/>
      <w:lvlText w:val="%1."/>
      <w:lvlJc w:val="left"/>
      <w:pPr>
        <w:ind w:left="1080" w:hanging="360"/>
      </w:pPr>
      <w:rPr>
        <w:rFonts w:hint="default"/>
      </w:rPr>
    </w:lvl>
    <w:lvl w:ilvl="1" w:tplc="D1F41DDE">
      <w:start w:val="1"/>
      <w:numFmt w:val="decimal"/>
      <w:lvlText w:val="%2."/>
      <w:lvlJc w:val="left"/>
      <w:pPr>
        <w:ind w:left="1800" w:hanging="36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4C5A5357"/>
    <w:multiLevelType w:val="hybridMultilevel"/>
    <w:tmpl w:val="0798AAFA"/>
    <w:lvl w:ilvl="0" w:tplc="2FC0424E">
      <w:start w:val="1"/>
      <w:numFmt w:val="decimal"/>
      <w:lvlText w:val="%1."/>
      <w:lvlJc w:val="left"/>
      <w:pPr>
        <w:ind w:left="720" w:hanging="360"/>
      </w:pPr>
      <w:rPr>
        <w:rFonts w:hint="default"/>
      </w:r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1026D94"/>
    <w:multiLevelType w:val="hybridMultilevel"/>
    <w:tmpl w:val="8BD86A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41B5067"/>
    <w:multiLevelType w:val="hybridMultilevel"/>
    <w:tmpl w:val="DCAC2F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B8D7A7F"/>
    <w:multiLevelType w:val="hybridMultilevel"/>
    <w:tmpl w:val="66E4CF28"/>
    <w:lvl w:ilvl="0" w:tplc="B4AA731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5A707CF"/>
    <w:multiLevelType w:val="hybridMultilevel"/>
    <w:tmpl w:val="A03A38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7B71FE8"/>
    <w:multiLevelType w:val="hybridMultilevel"/>
    <w:tmpl w:val="97087B7E"/>
    <w:lvl w:ilvl="0" w:tplc="0C0A000F">
      <w:start w:val="1"/>
      <w:numFmt w:val="decimal"/>
      <w:lvlText w:val="%1."/>
      <w:lvlJc w:val="left"/>
      <w:pPr>
        <w:tabs>
          <w:tab w:val="num" w:pos="1776"/>
        </w:tabs>
        <w:ind w:left="1776" w:hanging="360"/>
      </w:p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1" w15:restartNumberingAfterBreak="0">
    <w:nsid w:val="6943785B"/>
    <w:multiLevelType w:val="hybridMultilevel"/>
    <w:tmpl w:val="14D463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9EE1E06"/>
    <w:multiLevelType w:val="hybridMultilevel"/>
    <w:tmpl w:val="05EC97D8"/>
    <w:lvl w:ilvl="0" w:tplc="0C0A000F">
      <w:start w:val="1"/>
      <w:numFmt w:val="decimal"/>
      <w:lvlText w:val="%1."/>
      <w:lvlJc w:val="left"/>
      <w:pPr>
        <w:tabs>
          <w:tab w:val="num" w:pos="1776"/>
        </w:tabs>
        <w:ind w:left="1776" w:hanging="360"/>
      </w:pPr>
    </w:lvl>
    <w:lvl w:ilvl="1" w:tplc="0C0A0019">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3" w15:restartNumberingAfterBreak="0">
    <w:nsid w:val="6CBE0E5D"/>
    <w:multiLevelType w:val="multilevel"/>
    <w:tmpl w:val="603E96A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CFF3F87"/>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DD96B70"/>
    <w:multiLevelType w:val="hybridMultilevel"/>
    <w:tmpl w:val="CC8A81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07E6190"/>
    <w:multiLevelType w:val="hybridMultilevel"/>
    <w:tmpl w:val="14E4E5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0D97D09"/>
    <w:multiLevelType w:val="multilevel"/>
    <w:tmpl w:val="320091D4"/>
    <w:lvl w:ilvl="0">
      <w:start w:val="1"/>
      <w:numFmt w:val="upp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1645BEB"/>
    <w:multiLevelType w:val="hybridMultilevel"/>
    <w:tmpl w:val="B1884CE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22E31D9"/>
    <w:multiLevelType w:val="hybridMultilevel"/>
    <w:tmpl w:val="DE26FD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80949EC"/>
    <w:multiLevelType w:val="hybridMultilevel"/>
    <w:tmpl w:val="10109B0C"/>
    <w:lvl w:ilvl="0" w:tplc="2F1C8ACE">
      <w:start w:val="2"/>
      <w:numFmt w:val="decimal"/>
      <w:lvlText w:val="%1."/>
      <w:lvlJc w:val="left"/>
      <w:pPr>
        <w:tabs>
          <w:tab w:val="num" w:pos="2136"/>
        </w:tabs>
        <w:ind w:left="2136" w:hanging="360"/>
      </w:pPr>
      <w:rPr>
        <w:rFonts w:hint="default"/>
      </w:rPr>
    </w:lvl>
    <w:lvl w:ilvl="1" w:tplc="7D721174">
      <w:start w:val="3"/>
      <w:numFmt w:val="decimal"/>
      <w:lvlText w:val="%2."/>
      <w:lvlJc w:val="left"/>
      <w:pPr>
        <w:tabs>
          <w:tab w:val="num" w:pos="2856"/>
        </w:tabs>
        <w:ind w:left="2856" w:hanging="360"/>
      </w:pPr>
      <w:rPr>
        <w:rFonts w:hint="default"/>
      </w:rPr>
    </w:lvl>
    <w:lvl w:ilvl="2" w:tplc="0409001B" w:tentative="1">
      <w:start w:val="1"/>
      <w:numFmt w:val="lowerRoman"/>
      <w:lvlText w:val="%3."/>
      <w:lvlJc w:val="right"/>
      <w:pPr>
        <w:tabs>
          <w:tab w:val="num" w:pos="3576"/>
        </w:tabs>
        <w:ind w:left="3576" w:hanging="180"/>
      </w:pPr>
    </w:lvl>
    <w:lvl w:ilvl="3" w:tplc="0409000F" w:tentative="1">
      <w:start w:val="1"/>
      <w:numFmt w:val="decimal"/>
      <w:lvlText w:val="%4."/>
      <w:lvlJc w:val="left"/>
      <w:pPr>
        <w:tabs>
          <w:tab w:val="num" w:pos="4296"/>
        </w:tabs>
        <w:ind w:left="4296" w:hanging="360"/>
      </w:pPr>
    </w:lvl>
    <w:lvl w:ilvl="4" w:tplc="04090019" w:tentative="1">
      <w:start w:val="1"/>
      <w:numFmt w:val="lowerLetter"/>
      <w:lvlText w:val="%5."/>
      <w:lvlJc w:val="left"/>
      <w:pPr>
        <w:tabs>
          <w:tab w:val="num" w:pos="5016"/>
        </w:tabs>
        <w:ind w:left="5016" w:hanging="360"/>
      </w:pPr>
    </w:lvl>
    <w:lvl w:ilvl="5" w:tplc="0409001B" w:tentative="1">
      <w:start w:val="1"/>
      <w:numFmt w:val="lowerRoman"/>
      <w:lvlText w:val="%6."/>
      <w:lvlJc w:val="right"/>
      <w:pPr>
        <w:tabs>
          <w:tab w:val="num" w:pos="5736"/>
        </w:tabs>
        <w:ind w:left="5736" w:hanging="180"/>
      </w:pPr>
    </w:lvl>
    <w:lvl w:ilvl="6" w:tplc="0409000F" w:tentative="1">
      <w:start w:val="1"/>
      <w:numFmt w:val="decimal"/>
      <w:lvlText w:val="%7."/>
      <w:lvlJc w:val="left"/>
      <w:pPr>
        <w:tabs>
          <w:tab w:val="num" w:pos="6456"/>
        </w:tabs>
        <w:ind w:left="6456" w:hanging="360"/>
      </w:pPr>
    </w:lvl>
    <w:lvl w:ilvl="7" w:tplc="04090019" w:tentative="1">
      <w:start w:val="1"/>
      <w:numFmt w:val="lowerLetter"/>
      <w:lvlText w:val="%8."/>
      <w:lvlJc w:val="left"/>
      <w:pPr>
        <w:tabs>
          <w:tab w:val="num" w:pos="7176"/>
        </w:tabs>
        <w:ind w:left="7176" w:hanging="360"/>
      </w:pPr>
    </w:lvl>
    <w:lvl w:ilvl="8" w:tplc="0409001B" w:tentative="1">
      <w:start w:val="1"/>
      <w:numFmt w:val="lowerRoman"/>
      <w:lvlText w:val="%9."/>
      <w:lvlJc w:val="right"/>
      <w:pPr>
        <w:tabs>
          <w:tab w:val="num" w:pos="7896"/>
        </w:tabs>
        <w:ind w:left="7896" w:hanging="180"/>
      </w:pPr>
    </w:lvl>
  </w:abstractNum>
  <w:abstractNum w:abstractNumId="31" w15:restartNumberingAfterBreak="0">
    <w:nsid w:val="7B9848C3"/>
    <w:multiLevelType w:val="hybridMultilevel"/>
    <w:tmpl w:val="1D8267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24"/>
  </w:num>
  <w:num w:numId="3">
    <w:abstractNumId w:val="19"/>
  </w:num>
  <w:num w:numId="4">
    <w:abstractNumId w:val="27"/>
  </w:num>
  <w:num w:numId="5">
    <w:abstractNumId w:val="23"/>
  </w:num>
  <w:num w:numId="6">
    <w:abstractNumId w:val="25"/>
  </w:num>
  <w:num w:numId="7">
    <w:abstractNumId w:val="4"/>
  </w:num>
  <w:num w:numId="8">
    <w:abstractNumId w:val="8"/>
  </w:num>
  <w:num w:numId="9">
    <w:abstractNumId w:val="21"/>
  </w:num>
  <w:num w:numId="10">
    <w:abstractNumId w:val="31"/>
  </w:num>
  <w:num w:numId="11">
    <w:abstractNumId w:val="26"/>
  </w:num>
  <w:num w:numId="12">
    <w:abstractNumId w:val="6"/>
  </w:num>
  <w:num w:numId="13">
    <w:abstractNumId w:val="11"/>
  </w:num>
  <w:num w:numId="14">
    <w:abstractNumId w:val="14"/>
  </w:num>
  <w:num w:numId="15">
    <w:abstractNumId w:val="10"/>
  </w:num>
  <w:num w:numId="16">
    <w:abstractNumId w:val="2"/>
  </w:num>
  <w:num w:numId="17">
    <w:abstractNumId w:val="17"/>
  </w:num>
  <w:num w:numId="18">
    <w:abstractNumId w:val="9"/>
  </w:num>
  <w:num w:numId="19">
    <w:abstractNumId w:val="0"/>
  </w:num>
  <w:num w:numId="20">
    <w:abstractNumId w:val="16"/>
  </w:num>
  <w:num w:numId="21">
    <w:abstractNumId w:val="7"/>
  </w:num>
  <w:num w:numId="22">
    <w:abstractNumId w:val="15"/>
  </w:num>
  <w:num w:numId="23">
    <w:abstractNumId w:val="12"/>
  </w:num>
  <w:num w:numId="24">
    <w:abstractNumId w:val="28"/>
  </w:num>
  <w:num w:numId="25">
    <w:abstractNumId w:val="3"/>
  </w:num>
  <w:num w:numId="26">
    <w:abstractNumId w:val="22"/>
  </w:num>
  <w:num w:numId="27">
    <w:abstractNumId w:val="20"/>
  </w:num>
  <w:num w:numId="28">
    <w:abstractNumId w:val="30"/>
  </w:num>
  <w:num w:numId="29">
    <w:abstractNumId w:val="29"/>
  </w:num>
  <w:num w:numId="30">
    <w:abstractNumId w:val="18"/>
  </w:num>
  <w:num w:numId="31">
    <w:abstractNumId w:val="1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trackedChanges" w:enforcement="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E02"/>
    <w:rsid w:val="00020DFB"/>
    <w:rsid w:val="000223A0"/>
    <w:rsid w:val="00026A2E"/>
    <w:rsid w:val="00030B7C"/>
    <w:rsid w:val="00040EF0"/>
    <w:rsid w:val="0004684C"/>
    <w:rsid w:val="00053C47"/>
    <w:rsid w:val="0006347B"/>
    <w:rsid w:val="00066593"/>
    <w:rsid w:val="0006799C"/>
    <w:rsid w:val="00086B36"/>
    <w:rsid w:val="00090BDF"/>
    <w:rsid w:val="0009615B"/>
    <w:rsid w:val="00096DDE"/>
    <w:rsid w:val="000B68F6"/>
    <w:rsid w:val="000C7EF8"/>
    <w:rsid w:val="000E0931"/>
    <w:rsid w:val="000E0E2B"/>
    <w:rsid w:val="000F47FF"/>
    <w:rsid w:val="000F7094"/>
    <w:rsid w:val="0010707C"/>
    <w:rsid w:val="00112E45"/>
    <w:rsid w:val="00140E4A"/>
    <w:rsid w:val="001476B5"/>
    <w:rsid w:val="00151C50"/>
    <w:rsid w:val="0016051E"/>
    <w:rsid w:val="00167FED"/>
    <w:rsid w:val="0018181B"/>
    <w:rsid w:val="00186042"/>
    <w:rsid w:val="001933FC"/>
    <w:rsid w:val="001A3DE4"/>
    <w:rsid w:val="001B14E1"/>
    <w:rsid w:val="001B6C4A"/>
    <w:rsid w:val="001D13A4"/>
    <w:rsid w:val="001D2879"/>
    <w:rsid w:val="001E088A"/>
    <w:rsid w:val="001E4CCF"/>
    <w:rsid w:val="001F050D"/>
    <w:rsid w:val="00200F62"/>
    <w:rsid w:val="00203A94"/>
    <w:rsid w:val="0021140C"/>
    <w:rsid w:val="00215F82"/>
    <w:rsid w:val="00225935"/>
    <w:rsid w:val="002259FD"/>
    <w:rsid w:val="0022796C"/>
    <w:rsid w:val="002305E5"/>
    <w:rsid w:val="00232390"/>
    <w:rsid w:val="002374BC"/>
    <w:rsid w:val="00244D74"/>
    <w:rsid w:val="002474DE"/>
    <w:rsid w:val="0025265E"/>
    <w:rsid w:val="00254E90"/>
    <w:rsid w:val="0026540D"/>
    <w:rsid w:val="00276FD4"/>
    <w:rsid w:val="00284FC7"/>
    <w:rsid w:val="00285E09"/>
    <w:rsid w:val="002A3E2F"/>
    <w:rsid w:val="002B0D68"/>
    <w:rsid w:val="002B69B6"/>
    <w:rsid w:val="002C012F"/>
    <w:rsid w:val="002C1DA7"/>
    <w:rsid w:val="002C271E"/>
    <w:rsid w:val="002C7FA6"/>
    <w:rsid w:val="002D2FCF"/>
    <w:rsid w:val="002E1868"/>
    <w:rsid w:val="002E4EF5"/>
    <w:rsid w:val="002F3228"/>
    <w:rsid w:val="003024B1"/>
    <w:rsid w:val="00304C09"/>
    <w:rsid w:val="0032041B"/>
    <w:rsid w:val="00325E8B"/>
    <w:rsid w:val="00336248"/>
    <w:rsid w:val="00342397"/>
    <w:rsid w:val="00344EA3"/>
    <w:rsid w:val="00350EC1"/>
    <w:rsid w:val="00353E77"/>
    <w:rsid w:val="00362DD0"/>
    <w:rsid w:val="003633DA"/>
    <w:rsid w:val="003668EA"/>
    <w:rsid w:val="0037408F"/>
    <w:rsid w:val="00395C45"/>
    <w:rsid w:val="003A210B"/>
    <w:rsid w:val="003A61C6"/>
    <w:rsid w:val="003B2739"/>
    <w:rsid w:val="003B2DF9"/>
    <w:rsid w:val="003C2A82"/>
    <w:rsid w:val="003E2E91"/>
    <w:rsid w:val="003E6F3C"/>
    <w:rsid w:val="003E7EAD"/>
    <w:rsid w:val="00402F75"/>
    <w:rsid w:val="00405109"/>
    <w:rsid w:val="00417139"/>
    <w:rsid w:val="00424D07"/>
    <w:rsid w:val="00431F67"/>
    <w:rsid w:val="0049035E"/>
    <w:rsid w:val="00497A76"/>
    <w:rsid w:val="004A628F"/>
    <w:rsid w:val="004D3A47"/>
    <w:rsid w:val="004E3270"/>
    <w:rsid w:val="004E4D99"/>
    <w:rsid w:val="00500D4A"/>
    <w:rsid w:val="005047C1"/>
    <w:rsid w:val="00550243"/>
    <w:rsid w:val="005520F8"/>
    <w:rsid w:val="0055443F"/>
    <w:rsid w:val="00556915"/>
    <w:rsid w:val="0056248B"/>
    <w:rsid w:val="00565233"/>
    <w:rsid w:val="0057481D"/>
    <w:rsid w:val="00584A43"/>
    <w:rsid w:val="00595700"/>
    <w:rsid w:val="005A5997"/>
    <w:rsid w:val="005A7DE6"/>
    <w:rsid w:val="005B572C"/>
    <w:rsid w:val="005C32C5"/>
    <w:rsid w:val="005C4632"/>
    <w:rsid w:val="005C549A"/>
    <w:rsid w:val="005D6EF5"/>
    <w:rsid w:val="005E0248"/>
    <w:rsid w:val="005F1979"/>
    <w:rsid w:val="005F79A5"/>
    <w:rsid w:val="00604C2E"/>
    <w:rsid w:val="00611431"/>
    <w:rsid w:val="00622562"/>
    <w:rsid w:val="00652B25"/>
    <w:rsid w:val="0066071D"/>
    <w:rsid w:val="00683ACB"/>
    <w:rsid w:val="0069724B"/>
    <w:rsid w:val="006A6337"/>
    <w:rsid w:val="006A7CAA"/>
    <w:rsid w:val="006B08D2"/>
    <w:rsid w:val="006B4342"/>
    <w:rsid w:val="006C6117"/>
    <w:rsid w:val="006D12FA"/>
    <w:rsid w:val="006E2720"/>
    <w:rsid w:val="006F16BF"/>
    <w:rsid w:val="00715661"/>
    <w:rsid w:val="00733A9B"/>
    <w:rsid w:val="007340B4"/>
    <w:rsid w:val="0075182A"/>
    <w:rsid w:val="00753BEE"/>
    <w:rsid w:val="00755FDE"/>
    <w:rsid w:val="00756D06"/>
    <w:rsid w:val="00763CBE"/>
    <w:rsid w:val="00764992"/>
    <w:rsid w:val="00770FFB"/>
    <w:rsid w:val="0077127C"/>
    <w:rsid w:val="007829B3"/>
    <w:rsid w:val="007A5517"/>
    <w:rsid w:val="007B1FB9"/>
    <w:rsid w:val="007D14FE"/>
    <w:rsid w:val="007D1C2A"/>
    <w:rsid w:val="007D2B1B"/>
    <w:rsid w:val="007D3EA2"/>
    <w:rsid w:val="007D6EC1"/>
    <w:rsid w:val="007F3A6A"/>
    <w:rsid w:val="007F3FFC"/>
    <w:rsid w:val="008012FC"/>
    <w:rsid w:val="008072EC"/>
    <w:rsid w:val="00812354"/>
    <w:rsid w:val="00824FA4"/>
    <w:rsid w:val="0082795A"/>
    <w:rsid w:val="0083111B"/>
    <w:rsid w:val="008474E2"/>
    <w:rsid w:val="00874DE0"/>
    <w:rsid w:val="00881727"/>
    <w:rsid w:val="008823B4"/>
    <w:rsid w:val="008862E7"/>
    <w:rsid w:val="00896D0B"/>
    <w:rsid w:val="008A3117"/>
    <w:rsid w:val="008B154A"/>
    <w:rsid w:val="008B738E"/>
    <w:rsid w:val="008D473B"/>
    <w:rsid w:val="008E3CF8"/>
    <w:rsid w:val="00904F23"/>
    <w:rsid w:val="00906D47"/>
    <w:rsid w:val="009077BE"/>
    <w:rsid w:val="00917A39"/>
    <w:rsid w:val="009243BE"/>
    <w:rsid w:val="00933DBC"/>
    <w:rsid w:val="009450F0"/>
    <w:rsid w:val="00946F26"/>
    <w:rsid w:val="00962DD5"/>
    <w:rsid w:val="00977D31"/>
    <w:rsid w:val="00984CF8"/>
    <w:rsid w:val="009864D0"/>
    <w:rsid w:val="00986857"/>
    <w:rsid w:val="009A5062"/>
    <w:rsid w:val="009C5840"/>
    <w:rsid w:val="009D4744"/>
    <w:rsid w:val="009F0F07"/>
    <w:rsid w:val="009F14B8"/>
    <w:rsid w:val="00A008B6"/>
    <w:rsid w:val="00A023F2"/>
    <w:rsid w:val="00A04117"/>
    <w:rsid w:val="00A15BCE"/>
    <w:rsid w:val="00A16332"/>
    <w:rsid w:val="00A239BC"/>
    <w:rsid w:val="00A52ECD"/>
    <w:rsid w:val="00A61F84"/>
    <w:rsid w:val="00A65484"/>
    <w:rsid w:val="00A7054C"/>
    <w:rsid w:val="00A83F9E"/>
    <w:rsid w:val="00A9382A"/>
    <w:rsid w:val="00A97A06"/>
    <w:rsid w:val="00A97DD3"/>
    <w:rsid w:val="00AB1F02"/>
    <w:rsid w:val="00AC07D3"/>
    <w:rsid w:val="00AC2F3C"/>
    <w:rsid w:val="00AD2E1F"/>
    <w:rsid w:val="00AD7573"/>
    <w:rsid w:val="00B03784"/>
    <w:rsid w:val="00B43201"/>
    <w:rsid w:val="00B465B8"/>
    <w:rsid w:val="00B518A1"/>
    <w:rsid w:val="00B51E57"/>
    <w:rsid w:val="00B533AF"/>
    <w:rsid w:val="00B5447B"/>
    <w:rsid w:val="00B545FA"/>
    <w:rsid w:val="00B63411"/>
    <w:rsid w:val="00B64D10"/>
    <w:rsid w:val="00B67072"/>
    <w:rsid w:val="00B84E02"/>
    <w:rsid w:val="00B925A4"/>
    <w:rsid w:val="00B94426"/>
    <w:rsid w:val="00BB3F23"/>
    <w:rsid w:val="00BC25CF"/>
    <w:rsid w:val="00BD2FE4"/>
    <w:rsid w:val="00BE1142"/>
    <w:rsid w:val="00C032D7"/>
    <w:rsid w:val="00C054F2"/>
    <w:rsid w:val="00C30F0E"/>
    <w:rsid w:val="00C31228"/>
    <w:rsid w:val="00C3467F"/>
    <w:rsid w:val="00C34DDD"/>
    <w:rsid w:val="00C4077B"/>
    <w:rsid w:val="00C41D08"/>
    <w:rsid w:val="00C508FB"/>
    <w:rsid w:val="00C56C2E"/>
    <w:rsid w:val="00C91B17"/>
    <w:rsid w:val="00CB2285"/>
    <w:rsid w:val="00CB4ED3"/>
    <w:rsid w:val="00CD31CF"/>
    <w:rsid w:val="00CE4156"/>
    <w:rsid w:val="00CE5E60"/>
    <w:rsid w:val="00D00451"/>
    <w:rsid w:val="00D00EAC"/>
    <w:rsid w:val="00D14839"/>
    <w:rsid w:val="00D2769C"/>
    <w:rsid w:val="00D32B1F"/>
    <w:rsid w:val="00D40060"/>
    <w:rsid w:val="00D60505"/>
    <w:rsid w:val="00D62B02"/>
    <w:rsid w:val="00D644CC"/>
    <w:rsid w:val="00D728B1"/>
    <w:rsid w:val="00D73476"/>
    <w:rsid w:val="00D73DC9"/>
    <w:rsid w:val="00D858C4"/>
    <w:rsid w:val="00D91E44"/>
    <w:rsid w:val="00D928D7"/>
    <w:rsid w:val="00DA6AAB"/>
    <w:rsid w:val="00DB1342"/>
    <w:rsid w:val="00DB18A1"/>
    <w:rsid w:val="00DB5801"/>
    <w:rsid w:val="00DD4D6D"/>
    <w:rsid w:val="00DE2DBF"/>
    <w:rsid w:val="00DF4C14"/>
    <w:rsid w:val="00E12D25"/>
    <w:rsid w:val="00E268F1"/>
    <w:rsid w:val="00E273ED"/>
    <w:rsid w:val="00E3129A"/>
    <w:rsid w:val="00E3429B"/>
    <w:rsid w:val="00E45C57"/>
    <w:rsid w:val="00E7211D"/>
    <w:rsid w:val="00E7444A"/>
    <w:rsid w:val="00E76286"/>
    <w:rsid w:val="00EA17A2"/>
    <w:rsid w:val="00EA2FB4"/>
    <w:rsid w:val="00EA357C"/>
    <w:rsid w:val="00EA660A"/>
    <w:rsid w:val="00EC3E3E"/>
    <w:rsid w:val="00ED7BBE"/>
    <w:rsid w:val="00EE0FAE"/>
    <w:rsid w:val="00EE4998"/>
    <w:rsid w:val="00EF449E"/>
    <w:rsid w:val="00F00F2D"/>
    <w:rsid w:val="00F11D10"/>
    <w:rsid w:val="00F26CAD"/>
    <w:rsid w:val="00F35AA0"/>
    <w:rsid w:val="00F42166"/>
    <w:rsid w:val="00F42B6B"/>
    <w:rsid w:val="00F43F4F"/>
    <w:rsid w:val="00F445C8"/>
    <w:rsid w:val="00F477B2"/>
    <w:rsid w:val="00F5520A"/>
    <w:rsid w:val="00F60D52"/>
    <w:rsid w:val="00F63104"/>
    <w:rsid w:val="00F715F5"/>
    <w:rsid w:val="00F8664F"/>
    <w:rsid w:val="00FA21C6"/>
    <w:rsid w:val="00FA3F69"/>
    <w:rsid w:val="00FB277C"/>
    <w:rsid w:val="00FB2FCE"/>
    <w:rsid w:val="00FD64B1"/>
    <w:rsid w:val="00FE2E36"/>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AD2B6"/>
  <w15:docId w15:val="{86C9EEEE-0D4A-4FA0-853C-137E34F6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3AF"/>
    <w:rPr>
      <w:sz w:val="24"/>
      <w:szCs w:val="24"/>
    </w:rPr>
  </w:style>
  <w:style w:type="paragraph" w:styleId="Ttulo1">
    <w:name w:val="heading 1"/>
    <w:basedOn w:val="Normal"/>
    <w:next w:val="Normal"/>
    <w:link w:val="Ttulo1Car"/>
    <w:qFormat/>
    <w:rsid w:val="00B533AF"/>
    <w:pPr>
      <w:keepNext/>
      <w:jc w:val="both"/>
      <w:outlineLvl w:val="0"/>
    </w:pPr>
    <w:rPr>
      <w:b/>
      <w:bCs/>
      <w:lang w:val="es-MX"/>
    </w:rPr>
  </w:style>
  <w:style w:type="paragraph" w:styleId="Ttulo2">
    <w:name w:val="heading 2"/>
    <w:basedOn w:val="Normal"/>
    <w:next w:val="Normal"/>
    <w:link w:val="Ttulo2Car"/>
    <w:semiHidden/>
    <w:unhideWhenUsed/>
    <w:qFormat/>
    <w:rsid w:val="00B533AF"/>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533AF"/>
    <w:rPr>
      <w:b/>
      <w:bCs/>
      <w:sz w:val="24"/>
      <w:szCs w:val="24"/>
      <w:lang w:val="es-MX"/>
    </w:rPr>
  </w:style>
  <w:style w:type="character" w:customStyle="1" w:styleId="Ttulo2Car">
    <w:name w:val="Título 2 Car"/>
    <w:basedOn w:val="Fuentedeprrafopredeter"/>
    <w:link w:val="Ttulo2"/>
    <w:semiHidden/>
    <w:rsid w:val="00B533AF"/>
    <w:rPr>
      <w:rFonts w:asciiTheme="majorHAnsi" w:eastAsiaTheme="majorEastAsia" w:hAnsiTheme="majorHAnsi" w:cstheme="majorBidi"/>
      <w:b/>
      <w:bCs/>
      <w:i/>
      <w:iCs/>
      <w:sz w:val="28"/>
      <w:szCs w:val="28"/>
    </w:rPr>
  </w:style>
  <w:style w:type="paragraph" w:customStyle="1" w:styleId="Estilo1">
    <w:name w:val="Estilo1"/>
    <w:basedOn w:val="Ttulo2"/>
    <w:link w:val="Estilo1Car"/>
    <w:qFormat/>
    <w:rsid w:val="00B533AF"/>
    <w:pPr>
      <w:numPr>
        <w:numId w:val="1"/>
      </w:numPr>
      <w:autoSpaceDE w:val="0"/>
      <w:autoSpaceDN w:val="0"/>
      <w:adjustRightInd w:val="0"/>
      <w:jc w:val="both"/>
    </w:pPr>
    <w:rPr>
      <w:rFonts w:ascii="Calibri" w:hAnsi="Calibri" w:cs="Calibri"/>
      <w:bCs w:val="0"/>
      <w:i w:val="0"/>
      <w:sz w:val="22"/>
      <w:szCs w:val="22"/>
      <w:u w:val="single"/>
    </w:rPr>
  </w:style>
  <w:style w:type="character" w:customStyle="1" w:styleId="Estilo1Car">
    <w:name w:val="Estilo1 Car"/>
    <w:basedOn w:val="Ttulo2Car"/>
    <w:link w:val="Estilo1"/>
    <w:rsid w:val="00B533AF"/>
    <w:rPr>
      <w:rFonts w:ascii="Calibri" w:eastAsiaTheme="majorEastAsia" w:hAnsi="Calibri" w:cs="Calibri"/>
      <w:b/>
      <w:bCs/>
      <w:i/>
      <w:iCs/>
      <w:sz w:val="22"/>
      <w:szCs w:val="22"/>
      <w:u w:val="single"/>
    </w:rPr>
  </w:style>
  <w:style w:type="paragraph" w:styleId="TDC1">
    <w:name w:val="toc 1"/>
    <w:basedOn w:val="Normal"/>
    <w:next w:val="Normal"/>
    <w:autoRedefine/>
    <w:uiPriority w:val="39"/>
    <w:unhideWhenUsed/>
    <w:rsid w:val="000F7094"/>
    <w:pPr>
      <w:spacing w:after="100"/>
    </w:pPr>
    <w:rPr>
      <w:rFonts w:ascii="Calibri" w:hAnsi="Calibri"/>
      <w:sz w:val="22"/>
    </w:rPr>
  </w:style>
  <w:style w:type="paragraph" w:styleId="Encabezado">
    <w:name w:val="header"/>
    <w:basedOn w:val="Normal"/>
    <w:link w:val="EncabezadoCar"/>
    <w:uiPriority w:val="99"/>
    <w:unhideWhenUsed/>
    <w:rsid w:val="00B84E02"/>
    <w:pPr>
      <w:tabs>
        <w:tab w:val="center" w:pos="4252"/>
        <w:tab w:val="right" w:pos="8504"/>
      </w:tabs>
    </w:pPr>
  </w:style>
  <w:style w:type="character" w:customStyle="1" w:styleId="EncabezadoCar">
    <w:name w:val="Encabezado Car"/>
    <w:basedOn w:val="Fuentedeprrafopredeter"/>
    <w:link w:val="Encabezado"/>
    <w:uiPriority w:val="99"/>
    <w:rsid w:val="00B84E02"/>
    <w:rPr>
      <w:sz w:val="24"/>
      <w:szCs w:val="24"/>
    </w:rPr>
  </w:style>
  <w:style w:type="paragraph" w:styleId="Piedepgina">
    <w:name w:val="footer"/>
    <w:basedOn w:val="Normal"/>
    <w:link w:val="PiedepginaCar"/>
    <w:uiPriority w:val="99"/>
    <w:unhideWhenUsed/>
    <w:rsid w:val="00B84E02"/>
    <w:pPr>
      <w:tabs>
        <w:tab w:val="center" w:pos="4252"/>
        <w:tab w:val="right" w:pos="8504"/>
      </w:tabs>
    </w:pPr>
  </w:style>
  <w:style w:type="character" w:customStyle="1" w:styleId="PiedepginaCar">
    <w:name w:val="Pie de página Car"/>
    <w:basedOn w:val="Fuentedeprrafopredeter"/>
    <w:link w:val="Piedepgina"/>
    <w:uiPriority w:val="99"/>
    <w:rsid w:val="00B84E02"/>
    <w:rPr>
      <w:sz w:val="24"/>
      <w:szCs w:val="24"/>
    </w:rPr>
  </w:style>
  <w:style w:type="paragraph" w:styleId="Prrafodelista">
    <w:name w:val="List Paragraph"/>
    <w:basedOn w:val="Normal"/>
    <w:uiPriority w:val="34"/>
    <w:qFormat/>
    <w:rsid w:val="00D858C4"/>
    <w:pPr>
      <w:ind w:left="720"/>
      <w:contextualSpacing/>
    </w:pPr>
  </w:style>
  <w:style w:type="paragraph" w:styleId="Ttulo">
    <w:name w:val="Title"/>
    <w:basedOn w:val="Normal"/>
    <w:next w:val="Normal"/>
    <w:link w:val="TtuloCar"/>
    <w:qFormat/>
    <w:rsid w:val="00D00EA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D00EAC"/>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986857"/>
    <w:rPr>
      <w:rFonts w:ascii="Tahoma" w:hAnsi="Tahoma" w:cs="Tahoma"/>
      <w:sz w:val="16"/>
      <w:szCs w:val="16"/>
    </w:rPr>
  </w:style>
  <w:style w:type="character" w:customStyle="1" w:styleId="TextodegloboCar">
    <w:name w:val="Texto de globo Car"/>
    <w:basedOn w:val="Fuentedeprrafopredeter"/>
    <w:link w:val="Textodeglobo"/>
    <w:uiPriority w:val="99"/>
    <w:semiHidden/>
    <w:rsid w:val="00986857"/>
    <w:rPr>
      <w:rFonts w:ascii="Tahoma" w:hAnsi="Tahoma" w:cs="Tahoma"/>
      <w:sz w:val="16"/>
      <w:szCs w:val="16"/>
    </w:rPr>
  </w:style>
  <w:style w:type="character" w:styleId="Refdecomentario">
    <w:name w:val="annotation reference"/>
    <w:basedOn w:val="Fuentedeprrafopredeter"/>
    <w:uiPriority w:val="99"/>
    <w:semiHidden/>
    <w:unhideWhenUsed/>
    <w:rsid w:val="00F26CAD"/>
    <w:rPr>
      <w:sz w:val="16"/>
      <w:szCs w:val="16"/>
    </w:rPr>
  </w:style>
  <w:style w:type="paragraph" w:styleId="Textocomentario">
    <w:name w:val="annotation text"/>
    <w:basedOn w:val="Normal"/>
    <w:link w:val="TextocomentarioCar"/>
    <w:uiPriority w:val="99"/>
    <w:semiHidden/>
    <w:unhideWhenUsed/>
    <w:rsid w:val="00F26CAD"/>
    <w:rPr>
      <w:sz w:val="20"/>
      <w:szCs w:val="20"/>
    </w:rPr>
  </w:style>
  <w:style w:type="character" w:customStyle="1" w:styleId="TextocomentarioCar">
    <w:name w:val="Texto comentario Car"/>
    <w:basedOn w:val="Fuentedeprrafopredeter"/>
    <w:link w:val="Textocomentario"/>
    <w:uiPriority w:val="99"/>
    <w:semiHidden/>
    <w:rsid w:val="00F26CAD"/>
  </w:style>
  <w:style w:type="paragraph" w:styleId="Asuntodelcomentario">
    <w:name w:val="annotation subject"/>
    <w:basedOn w:val="Textocomentario"/>
    <w:next w:val="Textocomentario"/>
    <w:link w:val="AsuntodelcomentarioCar"/>
    <w:uiPriority w:val="99"/>
    <w:semiHidden/>
    <w:unhideWhenUsed/>
    <w:rsid w:val="00F26CAD"/>
    <w:rPr>
      <w:b/>
      <w:bCs/>
    </w:rPr>
  </w:style>
  <w:style w:type="character" w:customStyle="1" w:styleId="AsuntodelcomentarioCar">
    <w:name w:val="Asunto del comentario Car"/>
    <w:basedOn w:val="TextocomentarioCar"/>
    <w:link w:val="Asuntodelcomentario"/>
    <w:uiPriority w:val="99"/>
    <w:semiHidden/>
    <w:rsid w:val="00F26CAD"/>
    <w:rPr>
      <w:b/>
      <w:bCs/>
    </w:rPr>
  </w:style>
  <w:style w:type="table" w:styleId="Tablaconcuadrcula">
    <w:name w:val="Table Grid"/>
    <w:basedOn w:val="Tablanormal"/>
    <w:uiPriority w:val="59"/>
    <w:rsid w:val="004A6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3633DA"/>
    <w:rPr>
      <w:sz w:val="20"/>
      <w:szCs w:val="20"/>
    </w:rPr>
  </w:style>
  <w:style w:type="character" w:customStyle="1" w:styleId="TextonotapieCar">
    <w:name w:val="Texto nota pie Car"/>
    <w:basedOn w:val="Fuentedeprrafopredeter"/>
    <w:link w:val="Textonotapie"/>
    <w:uiPriority w:val="99"/>
    <w:rsid w:val="003633DA"/>
  </w:style>
  <w:style w:type="character" w:styleId="Refdenotaalpie">
    <w:name w:val="footnote reference"/>
    <w:basedOn w:val="Fuentedeprrafopredeter"/>
    <w:uiPriority w:val="99"/>
    <w:semiHidden/>
    <w:unhideWhenUsed/>
    <w:rsid w:val="003633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88166">
      <w:bodyDiv w:val="1"/>
      <w:marLeft w:val="0"/>
      <w:marRight w:val="0"/>
      <w:marTop w:val="0"/>
      <w:marBottom w:val="0"/>
      <w:divBdr>
        <w:top w:val="none" w:sz="0" w:space="0" w:color="auto"/>
        <w:left w:val="none" w:sz="0" w:space="0" w:color="auto"/>
        <w:bottom w:val="none" w:sz="0" w:space="0" w:color="auto"/>
        <w:right w:val="none" w:sz="0" w:space="0" w:color="auto"/>
      </w:divBdr>
    </w:div>
    <w:div w:id="1405683624">
      <w:bodyDiv w:val="1"/>
      <w:marLeft w:val="0"/>
      <w:marRight w:val="0"/>
      <w:marTop w:val="0"/>
      <w:marBottom w:val="0"/>
      <w:divBdr>
        <w:top w:val="none" w:sz="0" w:space="0" w:color="auto"/>
        <w:left w:val="none" w:sz="0" w:space="0" w:color="auto"/>
        <w:bottom w:val="none" w:sz="0" w:space="0" w:color="auto"/>
        <w:right w:val="none" w:sz="0" w:space="0" w:color="auto"/>
      </w:divBdr>
    </w:div>
    <w:div w:id="1515218758">
      <w:bodyDiv w:val="1"/>
      <w:marLeft w:val="0"/>
      <w:marRight w:val="0"/>
      <w:marTop w:val="0"/>
      <w:marBottom w:val="0"/>
      <w:divBdr>
        <w:top w:val="none" w:sz="0" w:space="0" w:color="auto"/>
        <w:left w:val="none" w:sz="0" w:space="0" w:color="auto"/>
        <w:bottom w:val="none" w:sz="0" w:space="0" w:color="auto"/>
        <w:right w:val="none" w:sz="0" w:space="0" w:color="auto"/>
      </w:divBdr>
    </w:div>
    <w:div w:id="1550996243">
      <w:bodyDiv w:val="1"/>
      <w:marLeft w:val="0"/>
      <w:marRight w:val="0"/>
      <w:marTop w:val="0"/>
      <w:marBottom w:val="0"/>
      <w:divBdr>
        <w:top w:val="none" w:sz="0" w:space="0" w:color="auto"/>
        <w:left w:val="none" w:sz="0" w:space="0" w:color="auto"/>
        <w:bottom w:val="none" w:sz="0" w:space="0" w:color="auto"/>
        <w:right w:val="none" w:sz="0" w:space="0" w:color="auto"/>
      </w:divBdr>
    </w:div>
    <w:div w:id="1714768824">
      <w:bodyDiv w:val="1"/>
      <w:marLeft w:val="0"/>
      <w:marRight w:val="0"/>
      <w:marTop w:val="0"/>
      <w:marBottom w:val="0"/>
      <w:divBdr>
        <w:top w:val="none" w:sz="0" w:space="0" w:color="auto"/>
        <w:left w:val="none" w:sz="0" w:space="0" w:color="auto"/>
        <w:bottom w:val="none" w:sz="0" w:space="0" w:color="auto"/>
        <w:right w:val="none" w:sz="0" w:space="0" w:color="auto"/>
      </w:divBdr>
    </w:div>
    <w:div w:id="180250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A4628-43D2-47CB-B34E-FFC06AB38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306</Words>
  <Characters>1687</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scanner_amp</dc:creator>
  <cp:lastModifiedBy>Donald A. Montealegre Gómez</cp:lastModifiedBy>
  <cp:revision>9</cp:revision>
  <cp:lastPrinted>2019-11-11T17:38:00Z</cp:lastPrinted>
  <dcterms:created xsi:type="dcterms:W3CDTF">2017-08-30T05:20:00Z</dcterms:created>
  <dcterms:modified xsi:type="dcterms:W3CDTF">2019-11-11T17:41:00Z</dcterms:modified>
</cp:coreProperties>
</file>