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2A9" w:rsidRDefault="00D032A9" w:rsidP="00EF0A51">
      <w:pPr>
        <w:rPr>
          <w:rFonts w:ascii="Arial" w:hAnsi="Arial" w:cs="Arial"/>
          <w:b/>
          <w:sz w:val="22"/>
          <w:szCs w:val="22"/>
          <w:lang w:val="es-MX"/>
        </w:rPr>
      </w:pPr>
    </w:p>
    <w:p w:rsidR="003A210B" w:rsidRDefault="008E51EC" w:rsidP="00EF0A5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6</w:t>
      </w:r>
      <w:r w:rsidR="00D032A9">
        <w:rPr>
          <w:rFonts w:ascii="Arial" w:hAnsi="Arial" w:cs="Arial"/>
          <w:b/>
          <w:sz w:val="22"/>
          <w:szCs w:val="22"/>
          <w:lang w:val="es-MX"/>
        </w:rPr>
        <w:t>800</w:t>
      </w:r>
      <w:r w:rsidR="003A210B" w:rsidRPr="004F608B">
        <w:rPr>
          <w:rFonts w:ascii="Arial" w:hAnsi="Arial" w:cs="Arial"/>
          <w:b/>
          <w:sz w:val="22"/>
          <w:szCs w:val="22"/>
          <w:lang w:val="es-MX"/>
        </w:rPr>
        <w:tab/>
      </w:r>
      <w:r w:rsidR="00D032A9">
        <w:rPr>
          <w:rFonts w:ascii="Arial" w:hAnsi="Arial" w:cs="Arial"/>
          <w:b/>
          <w:sz w:val="22"/>
          <w:szCs w:val="22"/>
          <w:lang w:val="es-MX"/>
        </w:rPr>
        <w:t xml:space="preserve">OTROS GASTOS </w:t>
      </w:r>
    </w:p>
    <w:p w:rsidR="00343841" w:rsidRPr="00EF0A51" w:rsidRDefault="00343841" w:rsidP="00EF0A51">
      <w:pPr>
        <w:rPr>
          <w:rFonts w:ascii="Arial" w:hAnsi="Arial" w:cs="Arial"/>
          <w:b/>
          <w:sz w:val="22"/>
          <w:szCs w:val="22"/>
          <w:lang w:val="es-MX"/>
        </w:rPr>
      </w:pPr>
    </w:p>
    <w:p w:rsidR="00105C05" w:rsidRPr="00105C05" w:rsidRDefault="00C7266D" w:rsidP="00105C05">
      <w:pPr>
        <w:spacing w:line="240" w:lineRule="atLeast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 este grupo</w:t>
      </w:r>
      <w:r w:rsidR="00D032A9">
        <w:rPr>
          <w:rFonts w:ascii="Arial" w:hAnsi="Arial" w:cs="Arial"/>
          <w:sz w:val="22"/>
          <w:szCs w:val="22"/>
          <w:lang w:val="es-MX"/>
        </w:rPr>
        <w:t xml:space="preserve"> se registran los otros </w:t>
      </w:r>
      <w:r w:rsidR="00105C05" w:rsidRPr="00105C05">
        <w:rPr>
          <w:rFonts w:ascii="Arial" w:hAnsi="Arial" w:cs="Arial"/>
          <w:sz w:val="22"/>
          <w:szCs w:val="22"/>
          <w:lang w:val="es-MX"/>
        </w:rPr>
        <w:t>gastos operativos del período en que ha incurrido la Institución que no corresponde clasificar en gastos de administración</w:t>
      </w:r>
      <w:r w:rsidR="00D032A9">
        <w:rPr>
          <w:rFonts w:ascii="Arial" w:hAnsi="Arial" w:cs="Arial"/>
          <w:sz w:val="22"/>
          <w:szCs w:val="22"/>
          <w:lang w:val="es-MX"/>
        </w:rPr>
        <w:t xml:space="preserve"> o financieros</w:t>
      </w:r>
      <w:r w:rsidR="00105C05" w:rsidRPr="00105C05">
        <w:rPr>
          <w:rFonts w:ascii="Arial" w:hAnsi="Arial" w:cs="Arial"/>
          <w:sz w:val="22"/>
          <w:szCs w:val="22"/>
          <w:lang w:val="es-MX"/>
        </w:rPr>
        <w:t>.</w:t>
      </w:r>
    </w:p>
    <w:p w:rsidR="00B4223E" w:rsidRPr="00105C05" w:rsidRDefault="00B4223E" w:rsidP="00884051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4F608B" w:rsidRPr="00105C05" w:rsidRDefault="004F608B" w:rsidP="00884051">
      <w:pPr>
        <w:jc w:val="both"/>
        <w:rPr>
          <w:rFonts w:ascii="Arial" w:hAnsi="Arial" w:cs="Arial"/>
          <w:sz w:val="22"/>
          <w:szCs w:val="22"/>
          <w:lang w:val="es-MX"/>
        </w:rPr>
      </w:pPr>
      <w:r w:rsidRPr="00105C05">
        <w:rPr>
          <w:rFonts w:ascii="Arial" w:hAnsi="Arial" w:cs="Arial"/>
          <w:sz w:val="22"/>
          <w:szCs w:val="22"/>
          <w:lang w:val="es-MX"/>
        </w:rPr>
        <w:t>La</w:t>
      </w:r>
      <w:r w:rsidR="00C35DB2" w:rsidRPr="00105C05">
        <w:rPr>
          <w:rFonts w:ascii="Arial" w:hAnsi="Arial" w:cs="Arial"/>
          <w:sz w:val="22"/>
          <w:szCs w:val="22"/>
          <w:lang w:val="es-MX"/>
        </w:rPr>
        <w:t>s</w:t>
      </w:r>
      <w:r w:rsidRPr="00105C05">
        <w:rPr>
          <w:rFonts w:ascii="Arial" w:hAnsi="Arial" w:cs="Arial"/>
          <w:sz w:val="22"/>
          <w:szCs w:val="22"/>
          <w:lang w:val="es-MX"/>
        </w:rPr>
        <w:t xml:space="preserve"> cuenta</w:t>
      </w:r>
      <w:r w:rsidR="00C35DB2" w:rsidRPr="00105C05">
        <w:rPr>
          <w:rFonts w:ascii="Arial" w:hAnsi="Arial" w:cs="Arial"/>
          <w:sz w:val="22"/>
          <w:szCs w:val="22"/>
          <w:lang w:val="es-MX"/>
        </w:rPr>
        <w:t>s</w:t>
      </w:r>
      <w:r w:rsidRPr="00105C05">
        <w:rPr>
          <w:rFonts w:ascii="Arial" w:hAnsi="Arial" w:cs="Arial"/>
          <w:sz w:val="22"/>
          <w:szCs w:val="22"/>
          <w:lang w:val="es-MX"/>
        </w:rPr>
        <w:t xml:space="preserve"> de este grupo </w:t>
      </w:r>
      <w:r w:rsidR="00343841" w:rsidRPr="00105C05">
        <w:rPr>
          <w:rFonts w:ascii="Arial" w:hAnsi="Arial" w:cs="Arial"/>
          <w:sz w:val="22"/>
          <w:szCs w:val="22"/>
          <w:lang w:val="es-MX"/>
        </w:rPr>
        <w:t>s</w:t>
      </w:r>
      <w:r w:rsidR="00C35DB2" w:rsidRPr="00105C05">
        <w:rPr>
          <w:rFonts w:ascii="Arial" w:hAnsi="Arial" w:cs="Arial"/>
          <w:sz w:val="22"/>
          <w:szCs w:val="22"/>
          <w:lang w:val="es-MX"/>
        </w:rPr>
        <w:t>on</w:t>
      </w:r>
      <w:r w:rsidR="00343841" w:rsidRPr="00105C05">
        <w:rPr>
          <w:rFonts w:ascii="Arial" w:hAnsi="Arial" w:cs="Arial"/>
          <w:sz w:val="22"/>
          <w:szCs w:val="22"/>
          <w:lang w:val="es-MX"/>
        </w:rPr>
        <w:t xml:space="preserve"> </w:t>
      </w:r>
      <w:r w:rsidRPr="00105C05">
        <w:rPr>
          <w:rFonts w:ascii="Arial" w:hAnsi="Arial" w:cs="Arial"/>
          <w:sz w:val="22"/>
          <w:szCs w:val="22"/>
          <w:lang w:val="es-MX"/>
        </w:rPr>
        <w:t>la</w:t>
      </w:r>
      <w:r w:rsidR="00C35DB2" w:rsidRPr="00105C05">
        <w:rPr>
          <w:rFonts w:ascii="Arial" w:hAnsi="Arial" w:cs="Arial"/>
          <w:sz w:val="22"/>
          <w:szCs w:val="22"/>
          <w:lang w:val="es-MX"/>
        </w:rPr>
        <w:t>s</w:t>
      </w:r>
      <w:r w:rsidRPr="00105C05">
        <w:rPr>
          <w:rFonts w:ascii="Arial" w:hAnsi="Arial" w:cs="Arial"/>
          <w:sz w:val="22"/>
          <w:szCs w:val="22"/>
          <w:lang w:val="es-MX"/>
        </w:rPr>
        <w:t xml:space="preserve"> siguiente</w:t>
      </w:r>
      <w:r w:rsidR="00C35DB2" w:rsidRPr="00105C05">
        <w:rPr>
          <w:rFonts w:ascii="Arial" w:hAnsi="Arial" w:cs="Arial"/>
          <w:sz w:val="22"/>
          <w:szCs w:val="22"/>
          <w:lang w:val="es-MX"/>
        </w:rPr>
        <w:t>s</w:t>
      </w:r>
      <w:r w:rsidRPr="00105C05">
        <w:rPr>
          <w:rFonts w:ascii="Arial" w:hAnsi="Arial" w:cs="Arial"/>
          <w:sz w:val="22"/>
          <w:szCs w:val="22"/>
          <w:lang w:val="es-MX"/>
        </w:rPr>
        <w:t>:</w:t>
      </w:r>
    </w:p>
    <w:p w:rsidR="004F608B" w:rsidRPr="00105C05" w:rsidRDefault="004F608B" w:rsidP="00884051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F6F95" w:rsidRPr="005F6F95" w:rsidRDefault="005F6F95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6801.00.000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PERDIDAS EN VENTA DE ACTIVO</w:t>
      </w:r>
    </w:p>
    <w:p w:rsidR="005F6F95" w:rsidRPr="005F6F95" w:rsidRDefault="005F6F95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6802.00.000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EGRESOS POR OTROS ACTIVOS</w:t>
      </w:r>
    </w:p>
    <w:p w:rsidR="005F6F95" w:rsidRPr="005F6F95" w:rsidRDefault="005F6F95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6805.00.000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OTROS GASTOS GENERADOS POR OTROS ACTIVOS</w:t>
      </w:r>
    </w:p>
    <w:p w:rsidR="005F6F95" w:rsidRPr="005F6F95" w:rsidRDefault="005F6F95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6806.00.000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DONACIONES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6807.00.000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MULTAS POR INCUMPLIMIENTO A DISPOSIONES LEGALES Y NORMATIVAS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6808.00.000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PROVISION PARA PRIMAS POR COBRAR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6809.00.000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PROVISION PARA OTROS DEUDORES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6810.00.000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PROVISION PARA INSTITUCIONES REASEGURADORAS Y REAFIANZADORAS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6811.00.000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PROVISION PARA OTROS ACTIVOS</w:t>
      </w:r>
    </w:p>
    <w:p w:rsidR="005F6F95" w:rsidRPr="005F6F95" w:rsidRDefault="005F6F95" w:rsidP="005F6F95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6812.00.000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INVERSIONES INMOBILIARIAS</w:t>
      </w:r>
    </w:p>
    <w:p w:rsidR="00EE4779" w:rsidRDefault="00EE4779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681</w:t>
      </w:r>
      <w:r>
        <w:rPr>
          <w:rFonts w:ascii="Arial" w:eastAsia="Calibri" w:hAnsi="Arial" w:cs="Arial"/>
          <w:b/>
          <w:sz w:val="22"/>
          <w:szCs w:val="22"/>
          <w:lang w:val="es-MX" w:eastAsia="en-US"/>
        </w:rPr>
        <w:t>3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</w:r>
      <w:r>
        <w:rPr>
          <w:rFonts w:ascii="Arial" w:eastAsia="Calibri" w:hAnsi="Arial" w:cs="Arial"/>
          <w:b/>
          <w:sz w:val="22"/>
          <w:szCs w:val="22"/>
          <w:lang w:val="es-MX" w:eastAsia="en-US"/>
        </w:rPr>
        <w:t>DETERIORO DE ACTIVOS NO FINANCIEROS</w:t>
      </w:r>
    </w:p>
    <w:p w:rsidR="00EE4779" w:rsidRDefault="00EE4779" w:rsidP="00EE4779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>
        <w:rPr>
          <w:rFonts w:ascii="Arial" w:eastAsia="Calibri" w:hAnsi="Arial" w:cs="Arial"/>
          <w:b/>
          <w:sz w:val="22"/>
          <w:szCs w:val="22"/>
          <w:lang w:val="es-MX" w:eastAsia="en-US"/>
        </w:rPr>
        <w:t>6814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</w:r>
      <w:r>
        <w:rPr>
          <w:rFonts w:ascii="Arial" w:eastAsia="Calibri" w:hAnsi="Arial" w:cs="Arial"/>
          <w:b/>
          <w:sz w:val="22"/>
          <w:szCs w:val="22"/>
          <w:lang w:val="es-MX" w:eastAsia="en-US"/>
        </w:rPr>
        <w:t>DISMINUCION EN EL VALOR RAZONABLE DE INSTRUMENTOS FINANCIEROS CON CAMBIOS EN RESULTADOS</w:t>
      </w:r>
    </w:p>
    <w:p w:rsidR="00EE4779" w:rsidRPr="00EE4779" w:rsidRDefault="00EE4779" w:rsidP="00EE4779">
      <w:pPr>
        <w:ind w:left="1418" w:hanging="1418"/>
        <w:jc w:val="both"/>
        <w:rPr>
          <w:rFonts w:ascii="Arial" w:eastAsia="Calibri" w:hAnsi="Arial" w:cs="Arial"/>
          <w:b/>
          <w:color w:val="FF0000"/>
          <w:sz w:val="22"/>
          <w:szCs w:val="22"/>
          <w:lang w:val="es-MX" w:eastAsia="en-US"/>
        </w:rPr>
      </w:pPr>
      <w:r w:rsidRPr="00EE4779">
        <w:rPr>
          <w:rFonts w:ascii="Arial" w:eastAsia="Calibri" w:hAnsi="Arial" w:cs="Arial"/>
          <w:b/>
          <w:color w:val="FF0000"/>
          <w:sz w:val="22"/>
          <w:szCs w:val="22"/>
          <w:lang w:val="es-MX" w:eastAsia="en-US"/>
        </w:rPr>
        <w:t>6815.00.000</w:t>
      </w:r>
      <w:r w:rsidRPr="00EE4779">
        <w:rPr>
          <w:rFonts w:ascii="Arial" w:eastAsia="Calibri" w:hAnsi="Arial" w:cs="Arial"/>
          <w:b/>
          <w:color w:val="FF0000"/>
          <w:sz w:val="22"/>
          <w:szCs w:val="22"/>
          <w:lang w:val="es-MX" w:eastAsia="en-US"/>
        </w:rPr>
        <w:tab/>
        <w:t>PERDIDAS POR REVALUACION DE PROPIEDADES, PLANTA Y EQUIPO</w:t>
      </w:r>
      <w:r w:rsidR="00A07D56">
        <w:rPr>
          <w:rFonts w:ascii="Arial" w:eastAsia="Calibri" w:hAnsi="Arial" w:cs="Arial"/>
          <w:b/>
          <w:color w:val="FF0000"/>
          <w:sz w:val="22"/>
          <w:szCs w:val="22"/>
          <w:lang w:val="es-MX" w:eastAsia="en-US"/>
        </w:rPr>
        <w:t xml:space="preserve"> </w:t>
      </w:r>
      <w:r w:rsidR="00A07D56">
        <w:rPr>
          <w:rStyle w:val="Refdenotaalpie"/>
          <w:rFonts w:eastAsiaTheme="majorEastAsia"/>
        </w:rPr>
        <w:t>1</w:t>
      </w:r>
    </w:p>
    <w:p w:rsidR="005F6F95" w:rsidRPr="005F6F95" w:rsidRDefault="005F6F95" w:rsidP="005F6F95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>6899.00.000</w:t>
      </w:r>
      <w:r w:rsidRPr="005F6F95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OTROS</w:t>
      </w:r>
    </w:p>
    <w:p w:rsidR="007C0B43" w:rsidRDefault="007C0B43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4E0FC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A07D56" w:rsidRDefault="00A07D56" w:rsidP="00A07D56">
      <w:pPr>
        <w:pStyle w:val="Textonotapie"/>
        <w:rPr>
          <w:rFonts w:eastAsiaTheme="majorEastAsia"/>
        </w:rPr>
      </w:pPr>
    </w:p>
    <w:p w:rsidR="009E77FE" w:rsidRPr="00A734E3" w:rsidRDefault="00A07D56" w:rsidP="00A07D56">
      <w:pPr>
        <w:pStyle w:val="Textonotapie"/>
        <w:rPr>
          <w:rFonts w:ascii="Arial" w:hAnsi="Arial" w:cs="Arial"/>
          <w:sz w:val="22"/>
          <w:szCs w:val="22"/>
          <w:lang w:val="es-NI"/>
        </w:rPr>
      </w:pPr>
      <w:r>
        <w:rPr>
          <w:rStyle w:val="Refdenotaalpie"/>
          <w:rFonts w:eastAsiaTheme="majorEastAsia"/>
        </w:rPr>
        <w:t>1</w:t>
      </w:r>
      <w:r>
        <w:rPr>
          <w:rFonts w:eastAsiaTheme="majorEastAsia"/>
        </w:rP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“DS-IS-2110-11-2019/LAME” del 6 de noviembre 2019</w:t>
      </w:r>
      <w:bookmarkStart w:id="0" w:name="_GoBack"/>
      <w:bookmarkEnd w:id="0"/>
    </w:p>
    <w:sectPr w:rsidR="009E77FE" w:rsidRPr="00A734E3" w:rsidSect="00F075F4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CD6" w:rsidRDefault="002B1CD6" w:rsidP="00B84E02">
      <w:r>
        <w:separator/>
      </w:r>
    </w:p>
  </w:endnote>
  <w:endnote w:type="continuationSeparator" w:id="0">
    <w:p w:rsidR="002B1CD6" w:rsidRDefault="002B1CD6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9A" w:rsidRDefault="00F36C9A">
    <w:pPr>
      <w:pStyle w:val="Piedepgina"/>
      <w:jc w:val="right"/>
    </w:pPr>
  </w:p>
  <w:tbl>
    <w:tblPr>
      <w:tblStyle w:val="Tablaconcuadrcula"/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2282"/>
      <w:gridCol w:w="2032"/>
      <w:gridCol w:w="1967"/>
      <w:gridCol w:w="1326"/>
      <w:gridCol w:w="1447"/>
    </w:tblGrid>
    <w:tr w:rsidR="000B21B5" w:rsidRPr="00F307EE" w:rsidTr="009A79AB">
      <w:trPr>
        <w:trHeight w:val="272"/>
      </w:trPr>
      <w:tc>
        <w:tcPr>
          <w:tcW w:w="1260" w:type="pct"/>
        </w:tcPr>
        <w:p w:rsidR="000B21B5" w:rsidRPr="00F307EE" w:rsidRDefault="000B21B5" w:rsidP="00E23AC7">
          <w:pPr>
            <w:pStyle w:val="Piedepgina"/>
            <w:rPr>
              <w:rFonts w:ascii="Arial" w:hAnsi="Arial" w:cs="Arial"/>
              <w:sz w:val="18"/>
            </w:rPr>
          </w:pPr>
        </w:p>
      </w:tc>
      <w:tc>
        <w:tcPr>
          <w:tcW w:w="1122" w:type="pct"/>
        </w:tcPr>
        <w:p w:rsidR="000B21B5" w:rsidRPr="00F307EE" w:rsidRDefault="000B21B5" w:rsidP="00E23AC7">
          <w:pPr>
            <w:pStyle w:val="Piedepgina"/>
            <w:rPr>
              <w:rFonts w:ascii="Arial" w:hAnsi="Arial" w:cs="Arial"/>
              <w:sz w:val="18"/>
            </w:rPr>
          </w:pPr>
        </w:p>
      </w:tc>
      <w:tc>
        <w:tcPr>
          <w:tcW w:w="1086" w:type="pct"/>
        </w:tcPr>
        <w:p w:rsidR="000B21B5" w:rsidRPr="00F307EE" w:rsidRDefault="000B21B5" w:rsidP="00E23AC7">
          <w:pPr>
            <w:pStyle w:val="Piedepgina"/>
            <w:rPr>
              <w:rFonts w:ascii="Arial" w:hAnsi="Arial" w:cs="Arial"/>
              <w:sz w:val="18"/>
            </w:rPr>
          </w:pPr>
        </w:p>
      </w:tc>
      <w:tc>
        <w:tcPr>
          <w:tcW w:w="732" w:type="pct"/>
        </w:tcPr>
        <w:p w:rsidR="000B21B5" w:rsidRPr="00F307EE" w:rsidRDefault="000B21B5" w:rsidP="00E23AC7">
          <w:pPr>
            <w:pStyle w:val="Piedepgina"/>
            <w:rPr>
              <w:rFonts w:ascii="Arial" w:hAnsi="Arial" w:cs="Arial"/>
              <w:sz w:val="18"/>
            </w:rPr>
          </w:pPr>
        </w:p>
      </w:tc>
      <w:tc>
        <w:tcPr>
          <w:tcW w:w="799" w:type="pct"/>
          <w:vAlign w:val="center"/>
        </w:tcPr>
        <w:p w:rsidR="000B21B5" w:rsidRPr="00F307EE" w:rsidRDefault="000B21B5" w:rsidP="00E23AC7">
          <w:pPr>
            <w:pStyle w:val="Piedepgina"/>
            <w:jc w:val="center"/>
            <w:rPr>
              <w:rFonts w:ascii="Arial" w:hAnsi="Arial" w:cs="Arial"/>
              <w:sz w:val="18"/>
            </w:rPr>
          </w:pPr>
        </w:p>
      </w:tc>
    </w:tr>
  </w:tbl>
  <w:p w:rsidR="00F36C9A" w:rsidRDefault="00CF7BBD">
    <w:pPr>
      <w:pStyle w:val="Piedepgina"/>
    </w:pPr>
    <w:r>
      <w:rPr>
        <w:noProof/>
        <w:lang w:val="es-NI" w:eastAsia="es-NI"/>
      </w:rPr>
      <w:drawing>
        <wp:inline distT="0" distB="0" distL="0" distR="0" wp14:anchorId="7412FC2A">
          <wp:extent cx="6718300" cy="853440"/>
          <wp:effectExtent l="0" t="0" r="6350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CD6" w:rsidRDefault="002B1CD6" w:rsidP="00B84E02">
      <w:r>
        <w:separator/>
      </w:r>
    </w:p>
  </w:footnote>
  <w:footnote w:type="continuationSeparator" w:id="0">
    <w:p w:rsidR="002B1CD6" w:rsidRDefault="002B1CD6" w:rsidP="00B8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9A" w:rsidRDefault="00787863" w:rsidP="001B14E1">
    <w:pPr>
      <w:pStyle w:val="Encabezado"/>
      <w:tabs>
        <w:tab w:val="clear" w:pos="4252"/>
        <w:tab w:val="clear" w:pos="8504"/>
        <w:tab w:val="left" w:pos="1620"/>
      </w:tabs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378D756A" wp14:editId="48DE2D63">
          <wp:simplePos x="0" y="0"/>
          <wp:positionH relativeFrom="page">
            <wp:posOffset>-132893</wp:posOffset>
          </wp:positionH>
          <wp:positionV relativeFrom="paragraph">
            <wp:posOffset>-572948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6C9A">
      <w:tab/>
    </w:r>
  </w:p>
  <w:p w:rsidR="000B21B5" w:rsidRDefault="000B21B5" w:rsidP="001B14E1">
    <w:pPr>
      <w:pStyle w:val="Encabezado"/>
      <w:tabs>
        <w:tab w:val="clear" w:pos="4252"/>
        <w:tab w:val="clear" w:pos="8504"/>
        <w:tab w:val="left" w:pos="1620"/>
      </w:tabs>
    </w:pPr>
  </w:p>
  <w:p w:rsidR="000B21B5" w:rsidRDefault="000B21B5" w:rsidP="001B14E1">
    <w:pPr>
      <w:pStyle w:val="Encabezado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3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1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19"/>
  </w:num>
  <w:num w:numId="4">
    <w:abstractNumId w:val="27"/>
  </w:num>
  <w:num w:numId="5">
    <w:abstractNumId w:val="23"/>
  </w:num>
  <w:num w:numId="6">
    <w:abstractNumId w:val="25"/>
  </w:num>
  <w:num w:numId="7">
    <w:abstractNumId w:val="4"/>
  </w:num>
  <w:num w:numId="8">
    <w:abstractNumId w:val="8"/>
  </w:num>
  <w:num w:numId="9">
    <w:abstractNumId w:val="21"/>
  </w:num>
  <w:num w:numId="10">
    <w:abstractNumId w:val="31"/>
  </w:num>
  <w:num w:numId="11">
    <w:abstractNumId w:val="26"/>
  </w:num>
  <w:num w:numId="12">
    <w:abstractNumId w:val="6"/>
  </w:num>
  <w:num w:numId="13">
    <w:abstractNumId w:val="11"/>
  </w:num>
  <w:num w:numId="14">
    <w:abstractNumId w:val="14"/>
  </w:num>
  <w:num w:numId="15">
    <w:abstractNumId w:val="10"/>
  </w:num>
  <w:num w:numId="16">
    <w:abstractNumId w:val="2"/>
  </w:num>
  <w:num w:numId="17">
    <w:abstractNumId w:val="17"/>
  </w:num>
  <w:num w:numId="18">
    <w:abstractNumId w:val="9"/>
  </w:num>
  <w:num w:numId="19">
    <w:abstractNumId w:val="0"/>
  </w:num>
  <w:num w:numId="20">
    <w:abstractNumId w:val="16"/>
  </w:num>
  <w:num w:numId="21">
    <w:abstractNumId w:val="7"/>
  </w:num>
  <w:num w:numId="22">
    <w:abstractNumId w:val="15"/>
  </w:num>
  <w:num w:numId="23">
    <w:abstractNumId w:val="12"/>
  </w:num>
  <w:num w:numId="24">
    <w:abstractNumId w:val="28"/>
  </w:num>
  <w:num w:numId="25">
    <w:abstractNumId w:val="3"/>
  </w:num>
  <w:num w:numId="26">
    <w:abstractNumId w:val="22"/>
  </w:num>
  <w:num w:numId="27">
    <w:abstractNumId w:val="20"/>
  </w:num>
  <w:num w:numId="28">
    <w:abstractNumId w:val="30"/>
  </w:num>
  <w:num w:numId="29">
    <w:abstractNumId w:val="29"/>
  </w:num>
  <w:num w:numId="30">
    <w:abstractNumId w:val="18"/>
  </w:num>
  <w:num w:numId="31">
    <w:abstractNumId w:val="1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0223A0"/>
    <w:rsid w:val="000276B5"/>
    <w:rsid w:val="00040EF0"/>
    <w:rsid w:val="0004684C"/>
    <w:rsid w:val="00052F61"/>
    <w:rsid w:val="00054BA4"/>
    <w:rsid w:val="0006347B"/>
    <w:rsid w:val="0006799C"/>
    <w:rsid w:val="00073B85"/>
    <w:rsid w:val="00075529"/>
    <w:rsid w:val="00086B36"/>
    <w:rsid w:val="0009615B"/>
    <w:rsid w:val="00096DDE"/>
    <w:rsid w:val="000A6556"/>
    <w:rsid w:val="000B21B5"/>
    <w:rsid w:val="000B24F0"/>
    <w:rsid w:val="000B298D"/>
    <w:rsid w:val="000B632A"/>
    <w:rsid w:val="000B68F6"/>
    <w:rsid w:val="000F4510"/>
    <w:rsid w:val="000F7094"/>
    <w:rsid w:val="001004EC"/>
    <w:rsid w:val="00105C05"/>
    <w:rsid w:val="0010700F"/>
    <w:rsid w:val="00114B9F"/>
    <w:rsid w:val="00123C40"/>
    <w:rsid w:val="00124484"/>
    <w:rsid w:val="001353AA"/>
    <w:rsid w:val="00144698"/>
    <w:rsid w:val="00151C50"/>
    <w:rsid w:val="0016051E"/>
    <w:rsid w:val="00167FED"/>
    <w:rsid w:val="00171725"/>
    <w:rsid w:val="00183056"/>
    <w:rsid w:val="00196094"/>
    <w:rsid w:val="001A0782"/>
    <w:rsid w:val="001A3DE4"/>
    <w:rsid w:val="001B14E1"/>
    <w:rsid w:val="001B61EB"/>
    <w:rsid w:val="001B6C4A"/>
    <w:rsid w:val="001C025D"/>
    <w:rsid w:val="001C086A"/>
    <w:rsid w:val="001D2879"/>
    <w:rsid w:val="001F050D"/>
    <w:rsid w:val="001F6D68"/>
    <w:rsid w:val="00203EE2"/>
    <w:rsid w:val="00205626"/>
    <w:rsid w:val="0021140C"/>
    <w:rsid w:val="0022792F"/>
    <w:rsid w:val="00232224"/>
    <w:rsid w:val="002359D2"/>
    <w:rsid w:val="002374BC"/>
    <w:rsid w:val="00244947"/>
    <w:rsid w:val="00244D74"/>
    <w:rsid w:val="0026540D"/>
    <w:rsid w:val="00265E93"/>
    <w:rsid w:val="002707B4"/>
    <w:rsid w:val="0027206D"/>
    <w:rsid w:val="00274DB7"/>
    <w:rsid w:val="0029168A"/>
    <w:rsid w:val="00296AF5"/>
    <w:rsid w:val="002B1CD6"/>
    <w:rsid w:val="002D2FCF"/>
    <w:rsid w:val="002D5758"/>
    <w:rsid w:val="002E1868"/>
    <w:rsid w:val="002F475C"/>
    <w:rsid w:val="003024B1"/>
    <w:rsid w:val="00304C09"/>
    <w:rsid w:val="0030591B"/>
    <w:rsid w:val="00310F22"/>
    <w:rsid w:val="0031145D"/>
    <w:rsid w:val="003260BB"/>
    <w:rsid w:val="00333D52"/>
    <w:rsid w:val="00342397"/>
    <w:rsid w:val="00343841"/>
    <w:rsid w:val="003701E6"/>
    <w:rsid w:val="00390C7D"/>
    <w:rsid w:val="00395C45"/>
    <w:rsid w:val="003A210B"/>
    <w:rsid w:val="003A61C6"/>
    <w:rsid w:val="003C43AE"/>
    <w:rsid w:val="003E101F"/>
    <w:rsid w:val="003E4711"/>
    <w:rsid w:val="003E7EAD"/>
    <w:rsid w:val="0044485F"/>
    <w:rsid w:val="00446658"/>
    <w:rsid w:val="00463B7C"/>
    <w:rsid w:val="0049035E"/>
    <w:rsid w:val="00495B66"/>
    <w:rsid w:val="004A2982"/>
    <w:rsid w:val="004A3D21"/>
    <w:rsid w:val="004A628F"/>
    <w:rsid w:val="004C2D75"/>
    <w:rsid w:val="004D3A47"/>
    <w:rsid w:val="004D5AA9"/>
    <w:rsid w:val="004E0FC7"/>
    <w:rsid w:val="004F608B"/>
    <w:rsid w:val="00500D4A"/>
    <w:rsid w:val="005047C1"/>
    <w:rsid w:val="005058BD"/>
    <w:rsid w:val="00514F58"/>
    <w:rsid w:val="005520F8"/>
    <w:rsid w:val="0056182F"/>
    <w:rsid w:val="00565233"/>
    <w:rsid w:val="005757BE"/>
    <w:rsid w:val="00585BDE"/>
    <w:rsid w:val="0059711A"/>
    <w:rsid w:val="005A5440"/>
    <w:rsid w:val="005A745E"/>
    <w:rsid w:val="005B534F"/>
    <w:rsid w:val="005B572C"/>
    <w:rsid w:val="005C32C5"/>
    <w:rsid w:val="005C34DA"/>
    <w:rsid w:val="005F3421"/>
    <w:rsid w:val="005F6F95"/>
    <w:rsid w:val="005F709E"/>
    <w:rsid w:val="00603CAB"/>
    <w:rsid w:val="0060794B"/>
    <w:rsid w:val="00611431"/>
    <w:rsid w:val="00614C86"/>
    <w:rsid w:val="00616740"/>
    <w:rsid w:val="00652B25"/>
    <w:rsid w:val="0066071D"/>
    <w:rsid w:val="00675CF1"/>
    <w:rsid w:val="00683ACB"/>
    <w:rsid w:val="006A7CAA"/>
    <w:rsid w:val="006C78E4"/>
    <w:rsid w:val="006E2720"/>
    <w:rsid w:val="006E7033"/>
    <w:rsid w:val="0070092F"/>
    <w:rsid w:val="0070181E"/>
    <w:rsid w:val="00713921"/>
    <w:rsid w:val="0072221B"/>
    <w:rsid w:val="00731018"/>
    <w:rsid w:val="007322AF"/>
    <w:rsid w:val="007506F6"/>
    <w:rsid w:val="00753BEE"/>
    <w:rsid w:val="00761A27"/>
    <w:rsid w:val="00763CBE"/>
    <w:rsid w:val="007702C1"/>
    <w:rsid w:val="00770FFB"/>
    <w:rsid w:val="00787863"/>
    <w:rsid w:val="007A36B9"/>
    <w:rsid w:val="007A5517"/>
    <w:rsid w:val="007B53B2"/>
    <w:rsid w:val="007C0B43"/>
    <w:rsid w:val="007C3D16"/>
    <w:rsid w:val="007C4AB9"/>
    <w:rsid w:val="007C4D07"/>
    <w:rsid w:val="007D14FE"/>
    <w:rsid w:val="00814FB1"/>
    <w:rsid w:val="00817AC1"/>
    <w:rsid w:val="008258DC"/>
    <w:rsid w:val="00874DE0"/>
    <w:rsid w:val="00881727"/>
    <w:rsid w:val="00883A3C"/>
    <w:rsid w:val="00884051"/>
    <w:rsid w:val="00896D0B"/>
    <w:rsid w:val="008A3117"/>
    <w:rsid w:val="008D473B"/>
    <w:rsid w:val="008E51EC"/>
    <w:rsid w:val="009077BE"/>
    <w:rsid w:val="00914DEF"/>
    <w:rsid w:val="00916B42"/>
    <w:rsid w:val="00917A39"/>
    <w:rsid w:val="00933DBC"/>
    <w:rsid w:val="00944248"/>
    <w:rsid w:val="009442E6"/>
    <w:rsid w:val="00954D89"/>
    <w:rsid w:val="00975DDB"/>
    <w:rsid w:val="00977D31"/>
    <w:rsid w:val="0098518A"/>
    <w:rsid w:val="009864D0"/>
    <w:rsid w:val="00986857"/>
    <w:rsid w:val="009A79AB"/>
    <w:rsid w:val="009E3354"/>
    <w:rsid w:val="009E77FE"/>
    <w:rsid w:val="009F14B8"/>
    <w:rsid w:val="00A04117"/>
    <w:rsid w:val="00A07D56"/>
    <w:rsid w:val="00A15BCE"/>
    <w:rsid w:val="00A22369"/>
    <w:rsid w:val="00A301A6"/>
    <w:rsid w:val="00A70759"/>
    <w:rsid w:val="00A734E3"/>
    <w:rsid w:val="00A9382A"/>
    <w:rsid w:val="00AB1675"/>
    <w:rsid w:val="00AC4D5C"/>
    <w:rsid w:val="00AD0B08"/>
    <w:rsid w:val="00AE4542"/>
    <w:rsid w:val="00B047EA"/>
    <w:rsid w:val="00B12096"/>
    <w:rsid w:val="00B17708"/>
    <w:rsid w:val="00B35D39"/>
    <w:rsid w:val="00B4223E"/>
    <w:rsid w:val="00B43201"/>
    <w:rsid w:val="00B465B8"/>
    <w:rsid w:val="00B533AF"/>
    <w:rsid w:val="00B647B3"/>
    <w:rsid w:val="00B84E02"/>
    <w:rsid w:val="00B91A79"/>
    <w:rsid w:val="00BA0946"/>
    <w:rsid w:val="00BB595B"/>
    <w:rsid w:val="00C011C9"/>
    <w:rsid w:val="00C260D2"/>
    <w:rsid w:val="00C300CD"/>
    <w:rsid w:val="00C3345C"/>
    <w:rsid w:val="00C34DDD"/>
    <w:rsid w:val="00C35DB2"/>
    <w:rsid w:val="00C56C2E"/>
    <w:rsid w:val="00C7266D"/>
    <w:rsid w:val="00C90FA8"/>
    <w:rsid w:val="00CA5155"/>
    <w:rsid w:val="00CB068C"/>
    <w:rsid w:val="00CB2285"/>
    <w:rsid w:val="00CB4ED3"/>
    <w:rsid w:val="00CD31CF"/>
    <w:rsid w:val="00CD3A08"/>
    <w:rsid w:val="00CE6F6C"/>
    <w:rsid w:val="00CF7BBD"/>
    <w:rsid w:val="00D00451"/>
    <w:rsid w:val="00D00EAC"/>
    <w:rsid w:val="00D032A9"/>
    <w:rsid w:val="00D0763C"/>
    <w:rsid w:val="00D14839"/>
    <w:rsid w:val="00D15146"/>
    <w:rsid w:val="00D24F72"/>
    <w:rsid w:val="00D2769C"/>
    <w:rsid w:val="00D31FA1"/>
    <w:rsid w:val="00D32B1F"/>
    <w:rsid w:val="00D343A5"/>
    <w:rsid w:val="00D44978"/>
    <w:rsid w:val="00D73476"/>
    <w:rsid w:val="00D858C4"/>
    <w:rsid w:val="00D928D7"/>
    <w:rsid w:val="00D957F0"/>
    <w:rsid w:val="00DA6AAB"/>
    <w:rsid w:val="00DB1ED8"/>
    <w:rsid w:val="00DC2548"/>
    <w:rsid w:val="00DC6335"/>
    <w:rsid w:val="00DD4D6D"/>
    <w:rsid w:val="00DF0E88"/>
    <w:rsid w:val="00E12D25"/>
    <w:rsid w:val="00E31528"/>
    <w:rsid w:val="00E3429B"/>
    <w:rsid w:val="00E36A35"/>
    <w:rsid w:val="00E4297B"/>
    <w:rsid w:val="00E44B35"/>
    <w:rsid w:val="00E7211D"/>
    <w:rsid w:val="00E735EE"/>
    <w:rsid w:val="00E75D41"/>
    <w:rsid w:val="00EC1BB7"/>
    <w:rsid w:val="00ED3A73"/>
    <w:rsid w:val="00EE4779"/>
    <w:rsid w:val="00EF0A51"/>
    <w:rsid w:val="00EF449E"/>
    <w:rsid w:val="00F00F2D"/>
    <w:rsid w:val="00F059DD"/>
    <w:rsid w:val="00F075F4"/>
    <w:rsid w:val="00F1324B"/>
    <w:rsid w:val="00F26CAD"/>
    <w:rsid w:val="00F27C24"/>
    <w:rsid w:val="00F36C9A"/>
    <w:rsid w:val="00F42166"/>
    <w:rsid w:val="00F5520A"/>
    <w:rsid w:val="00F77C2C"/>
    <w:rsid w:val="00F8664F"/>
    <w:rsid w:val="00F96B1B"/>
    <w:rsid w:val="00FA3F69"/>
    <w:rsid w:val="00FA7F6D"/>
    <w:rsid w:val="00FB2FCE"/>
    <w:rsid w:val="00FB73ED"/>
    <w:rsid w:val="00FC0DB0"/>
    <w:rsid w:val="00FC6E29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98E946"/>
  <w15:docId w15:val="{DCA1CD7F-9D98-4EFE-A170-4C78F0C4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unhideWhenUsed/>
    <w:rsid w:val="00A07D5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A07D5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0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BC75A-FEF9-48A0-8D72-B68D91D1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scanner_amp</dc:creator>
  <cp:lastModifiedBy>Donald A. Montealegre Gómez</cp:lastModifiedBy>
  <cp:revision>46</cp:revision>
  <cp:lastPrinted>2017-01-19T17:18:00Z</cp:lastPrinted>
  <dcterms:created xsi:type="dcterms:W3CDTF">2016-07-15T17:15:00Z</dcterms:created>
  <dcterms:modified xsi:type="dcterms:W3CDTF">2019-11-11T17:44:00Z</dcterms:modified>
</cp:coreProperties>
</file>