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3EB" w:rsidRDefault="00C223EB" w:rsidP="0079245B">
      <w:pPr>
        <w:autoSpaceDE w:val="0"/>
        <w:autoSpaceDN w:val="0"/>
        <w:spacing w:before="29"/>
        <w:ind w:right="20"/>
        <w:jc w:val="center"/>
        <w:rPr>
          <w:rFonts w:ascii="Arial" w:hAnsi="Arial" w:cs="Arial"/>
          <w:b/>
          <w:bCs/>
          <w:spacing w:val="4"/>
          <w:lang w:val="es-NI"/>
        </w:rPr>
      </w:pPr>
    </w:p>
    <w:p w:rsidR="00C223EB" w:rsidRDefault="00C223EB" w:rsidP="0079245B">
      <w:pPr>
        <w:autoSpaceDE w:val="0"/>
        <w:autoSpaceDN w:val="0"/>
        <w:spacing w:before="29"/>
        <w:ind w:right="20"/>
        <w:jc w:val="center"/>
        <w:rPr>
          <w:rFonts w:ascii="Arial" w:hAnsi="Arial" w:cs="Arial"/>
          <w:b/>
          <w:bCs/>
          <w:spacing w:val="4"/>
          <w:lang w:val="es-NI"/>
        </w:rPr>
      </w:pPr>
    </w:p>
    <w:p w:rsidR="00C223EB" w:rsidRDefault="00C223EB" w:rsidP="0079245B">
      <w:pPr>
        <w:autoSpaceDE w:val="0"/>
        <w:autoSpaceDN w:val="0"/>
        <w:spacing w:before="29"/>
        <w:ind w:right="20"/>
        <w:jc w:val="center"/>
        <w:rPr>
          <w:rFonts w:ascii="Arial" w:hAnsi="Arial" w:cs="Arial"/>
          <w:b/>
          <w:bCs/>
          <w:spacing w:val="4"/>
          <w:lang w:val="es-NI"/>
        </w:rPr>
      </w:pPr>
    </w:p>
    <w:p w:rsidR="00C223EB" w:rsidRPr="0079245B" w:rsidRDefault="00C223EB" w:rsidP="00A9440D">
      <w:pPr>
        <w:autoSpaceDE w:val="0"/>
        <w:autoSpaceDN w:val="0"/>
        <w:spacing w:before="29" w:after="0" w:line="480" w:lineRule="auto"/>
        <w:ind w:right="20"/>
        <w:jc w:val="center"/>
        <w:rPr>
          <w:rFonts w:ascii="Arial" w:hAnsi="Arial" w:cs="Arial"/>
          <w:b/>
          <w:bCs/>
          <w:spacing w:val="4"/>
          <w:lang w:val="es-NI"/>
        </w:rPr>
      </w:pPr>
    </w:p>
    <w:p w:rsidR="0079245B" w:rsidRPr="0079245B" w:rsidRDefault="0079245B" w:rsidP="00A9440D">
      <w:pPr>
        <w:autoSpaceDE w:val="0"/>
        <w:autoSpaceDN w:val="0"/>
        <w:spacing w:before="29" w:after="0" w:line="480" w:lineRule="auto"/>
        <w:ind w:right="20"/>
        <w:jc w:val="center"/>
        <w:rPr>
          <w:rFonts w:ascii="Arial" w:hAnsi="Arial" w:cs="Arial"/>
          <w:lang w:val="es-NI"/>
        </w:rPr>
      </w:pPr>
      <w:r w:rsidRPr="0079245B">
        <w:rPr>
          <w:rFonts w:ascii="Arial" w:hAnsi="Arial" w:cs="Arial"/>
          <w:b/>
          <w:bCs/>
          <w:spacing w:val="4"/>
          <w:lang w:val="es-NI"/>
        </w:rPr>
        <w:t>M</w:t>
      </w:r>
      <w:r w:rsidRPr="0079245B">
        <w:rPr>
          <w:rFonts w:ascii="Arial" w:hAnsi="Arial" w:cs="Arial"/>
          <w:b/>
          <w:bCs/>
          <w:spacing w:val="-5"/>
          <w:lang w:val="es-NI"/>
        </w:rPr>
        <w:t>A</w:t>
      </w:r>
      <w:r w:rsidRPr="0079245B">
        <w:rPr>
          <w:rFonts w:ascii="Arial" w:hAnsi="Arial" w:cs="Arial"/>
          <w:b/>
          <w:bCs/>
          <w:lang w:val="es-NI"/>
        </w:rPr>
        <w:t>R</w:t>
      </w:r>
      <w:r w:rsidRPr="0079245B">
        <w:rPr>
          <w:rFonts w:ascii="Arial" w:hAnsi="Arial" w:cs="Arial"/>
          <w:b/>
          <w:bCs/>
          <w:spacing w:val="-1"/>
          <w:lang w:val="es-NI"/>
        </w:rPr>
        <w:t>C</w:t>
      </w:r>
      <w:r w:rsidRPr="0079245B">
        <w:rPr>
          <w:rFonts w:ascii="Arial" w:hAnsi="Arial" w:cs="Arial"/>
          <w:b/>
          <w:bCs/>
          <w:lang w:val="es-NI"/>
        </w:rPr>
        <w:t xml:space="preserve">O </w:t>
      </w:r>
      <w:r w:rsidRPr="0079245B">
        <w:rPr>
          <w:rFonts w:ascii="Arial" w:hAnsi="Arial" w:cs="Arial"/>
          <w:b/>
          <w:bCs/>
          <w:spacing w:val="1"/>
          <w:lang w:val="es-NI"/>
        </w:rPr>
        <w:t>C</w:t>
      </w:r>
      <w:r w:rsidRPr="0079245B">
        <w:rPr>
          <w:rFonts w:ascii="Arial" w:hAnsi="Arial" w:cs="Arial"/>
          <w:b/>
          <w:bCs/>
          <w:lang w:val="es-NI"/>
        </w:rPr>
        <w:t>ON</w:t>
      </w:r>
      <w:r w:rsidRPr="0079245B">
        <w:rPr>
          <w:rFonts w:ascii="Arial" w:hAnsi="Arial" w:cs="Arial"/>
          <w:b/>
          <w:bCs/>
          <w:spacing w:val="4"/>
          <w:lang w:val="es-NI"/>
        </w:rPr>
        <w:t>T</w:t>
      </w:r>
      <w:r w:rsidRPr="0079245B">
        <w:rPr>
          <w:rFonts w:ascii="Arial" w:hAnsi="Arial" w:cs="Arial"/>
          <w:b/>
          <w:bCs/>
          <w:spacing w:val="-5"/>
          <w:lang w:val="es-NI"/>
        </w:rPr>
        <w:t>A</w:t>
      </w:r>
      <w:r w:rsidRPr="0079245B">
        <w:rPr>
          <w:rFonts w:ascii="Arial" w:hAnsi="Arial" w:cs="Arial"/>
          <w:b/>
          <w:bCs/>
          <w:lang w:val="es-NI"/>
        </w:rPr>
        <w:t>B</w:t>
      </w:r>
      <w:r w:rsidRPr="0079245B">
        <w:rPr>
          <w:rFonts w:ascii="Arial" w:hAnsi="Arial" w:cs="Arial"/>
          <w:b/>
          <w:bCs/>
          <w:spacing w:val="-1"/>
          <w:lang w:val="es-NI"/>
        </w:rPr>
        <w:t>L</w:t>
      </w:r>
      <w:r w:rsidRPr="0079245B">
        <w:rPr>
          <w:rFonts w:ascii="Arial" w:hAnsi="Arial" w:cs="Arial"/>
          <w:b/>
          <w:bCs/>
          <w:lang w:val="es-NI"/>
        </w:rPr>
        <w:t>E</w:t>
      </w:r>
    </w:p>
    <w:p w:rsidR="0079245B" w:rsidRPr="0079245B" w:rsidRDefault="0079245B" w:rsidP="00A9440D">
      <w:pPr>
        <w:autoSpaceDE w:val="0"/>
        <w:autoSpaceDN w:val="0"/>
        <w:spacing w:after="0" w:line="480" w:lineRule="auto"/>
        <w:ind w:right="-7"/>
        <w:jc w:val="center"/>
        <w:rPr>
          <w:rFonts w:ascii="Arial" w:hAnsi="Arial" w:cs="Arial"/>
          <w:b/>
          <w:bCs/>
          <w:spacing w:val="6"/>
          <w:lang w:val="es-NI"/>
        </w:rPr>
      </w:pPr>
      <w:r w:rsidRPr="0079245B">
        <w:rPr>
          <w:rFonts w:ascii="Arial" w:hAnsi="Arial" w:cs="Arial"/>
          <w:b/>
          <w:bCs/>
          <w:lang w:val="es-NI"/>
        </w:rPr>
        <w:t>INSTIT</w:t>
      </w:r>
      <w:r w:rsidRPr="0079245B">
        <w:rPr>
          <w:rFonts w:ascii="Arial" w:hAnsi="Arial" w:cs="Arial"/>
          <w:b/>
          <w:bCs/>
          <w:spacing w:val="-1"/>
          <w:lang w:val="es-NI"/>
        </w:rPr>
        <w:t>U</w:t>
      </w:r>
      <w:r w:rsidRPr="0079245B">
        <w:rPr>
          <w:rFonts w:ascii="Arial" w:hAnsi="Arial" w:cs="Arial"/>
          <w:b/>
          <w:bCs/>
          <w:lang w:val="es-NI"/>
        </w:rPr>
        <w:t>CIONES FI</w:t>
      </w:r>
      <w:r w:rsidRPr="0079245B">
        <w:rPr>
          <w:rFonts w:ascii="Arial" w:hAnsi="Arial" w:cs="Arial"/>
          <w:b/>
          <w:bCs/>
          <w:spacing w:val="-2"/>
          <w:lang w:val="es-NI"/>
        </w:rPr>
        <w:t>N</w:t>
      </w:r>
      <w:r w:rsidRPr="0079245B">
        <w:rPr>
          <w:rFonts w:ascii="Arial" w:hAnsi="Arial" w:cs="Arial"/>
          <w:b/>
          <w:bCs/>
          <w:spacing w:val="-5"/>
          <w:lang w:val="es-NI"/>
        </w:rPr>
        <w:t>A</w:t>
      </w:r>
      <w:r w:rsidRPr="0079245B">
        <w:rPr>
          <w:rFonts w:ascii="Arial" w:hAnsi="Arial" w:cs="Arial"/>
          <w:b/>
          <w:bCs/>
          <w:spacing w:val="2"/>
          <w:lang w:val="es-NI"/>
        </w:rPr>
        <w:t>N</w:t>
      </w:r>
      <w:r w:rsidRPr="0079245B">
        <w:rPr>
          <w:rFonts w:ascii="Arial" w:hAnsi="Arial" w:cs="Arial"/>
          <w:b/>
          <w:bCs/>
          <w:lang w:val="es-NI"/>
        </w:rPr>
        <w:t>CIE</w:t>
      </w:r>
      <w:r w:rsidRPr="0079245B">
        <w:rPr>
          <w:rFonts w:ascii="Arial" w:hAnsi="Arial" w:cs="Arial"/>
          <w:b/>
          <w:bCs/>
          <w:spacing w:val="4"/>
          <w:lang w:val="es-NI"/>
        </w:rPr>
        <w:t>R</w:t>
      </w:r>
      <w:r w:rsidRPr="0079245B">
        <w:rPr>
          <w:rFonts w:ascii="Arial" w:hAnsi="Arial" w:cs="Arial"/>
          <w:b/>
          <w:bCs/>
          <w:spacing w:val="-5"/>
          <w:lang w:val="es-NI"/>
        </w:rPr>
        <w:t>A</w:t>
      </w:r>
      <w:r w:rsidRPr="0079245B">
        <w:rPr>
          <w:rFonts w:ascii="Arial" w:hAnsi="Arial" w:cs="Arial"/>
          <w:b/>
          <w:bCs/>
          <w:lang w:val="es-NI"/>
        </w:rPr>
        <w:t>S DEL ME</w:t>
      </w:r>
      <w:r w:rsidRPr="0079245B">
        <w:rPr>
          <w:rFonts w:ascii="Arial" w:hAnsi="Arial" w:cs="Arial"/>
          <w:b/>
          <w:bCs/>
          <w:spacing w:val="2"/>
          <w:lang w:val="es-NI"/>
        </w:rPr>
        <w:t>RC</w:t>
      </w:r>
      <w:r w:rsidRPr="0079245B">
        <w:rPr>
          <w:rFonts w:ascii="Arial" w:hAnsi="Arial" w:cs="Arial"/>
          <w:b/>
          <w:bCs/>
          <w:spacing w:val="-5"/>
          <w:lang w:val="es-NI"/>
        </w:rPr>
        <w:t>A</w:t>
      </w:r>
      <w:r w:rsidRPr="0079245B">
        <w:rPr>
          <w:rFonts w:ascii="Arial" w:hAnsi="Arial" w:cs="Arial"/>
          <w:b/>
          <w:bCs/>
          <w:lang w:val="es-NI"/>
        </w:rPr>
        <w:t xml:space="preserve">DO DE </w:t>
      </w:r>
      <w:r w:rsidRPr="0079245B">
        <w:rPr>
          <w:rFonts w:ascii="Arial" w:hAnsi="Arial" w:cs="Arial"/>
          <w:b/>
          <w:bCs/>
          <w:spacing w:val="6"/>
          <w:lang w:val="es-NI"/>
        </w:rPr>
        <w:t>SEGUROS</w:t>
      </w:r>
    </w:p>
    <w:p w:rsidR="0079245B" w:rsidRPr="0079245B" w:rsidRDefault="0079245B" w:rsidP="00A9440D">
      <w:pPr>
        <w:autoSpaceDE w:val="0"/>
        <w:autoSpaceDN w:val="0"/>
        <w:spacing w:after="0" w:line="480" w:lineRule="auto"/>
        <w:ind w:right="-7"/>
        <w:jc w:val="center"/>
        <w:rPr>
          <w:rFonts w:ascii="Arial" w:hAnsi="Arial" w:cs="Arial"/>
          <w:lang w:val="es-NI"/>
        </w:rPr>
      </w:pPr>
      <w:r w:rsidRPr="0079245B">
        <w:rPr>
          <w:rFonts w:ascii="Arial" w:hAnsi="Arial" w:cs="Arial"/>
          <w:b/>
          <w:bCs/>
          <w:spacing w:val="6"/>
          <w:lang w:val="es-NI"/>
        </w:rPr>
        <w:t xml:space="preserve"> </w:t>
      </w:r>
      <w:r w:rsidRPr="0079245B">
        <w:rPr>
          <w:rFonts w:ascii="Arial" w:hAnsi="Arial" w:cs="Arial"/>
          <w:b/>
          <w:bCs/>
          <w:lang w:val="es-NI"/>
        </w:rPr>
        <w:t>INTENDEN</w:t>
      </w:r>
      <w:r w:rsidRPr="0079245B">
        <w:rPr>
          <w:rFonts w:ascii="Arial" w:hAnsi="Arial" w:cs="Arial"/>
          <w:b/>
          <w:bCs/>
          <w:spacing w:val="-1"/>
          <w:lang w:val="es-NI"/>
        </w:rPr>
        <w:t>C</w:t>
      </w:r>
      <w:r w:rsidRPr="0079245B">
        <w:rPr>
          <w:rFonts w:ascii="Arial" w:hAnsi="Arial" w:cs="Arial"/>
          <w:b/>
          <w:bCs/>
          <w:spacing w:val="3"/>
          <w:lang w:val="es-NI"/>
        </w:rPr>
        <w:t>I</w:t>
      </w:r>
      <w:r w:rsidRPr="0079245B">
        <w:rPr>
          <w:rFonts w:ascii="Arial" w:hAnsi="Arial" w:cs="Arial"/>
          <w:b/>
          <w:bCs/>
          <w:lang w:val="es-NI"/>
        </w:rPr>
        <w:t>A</w:t>
      </w:r>
      <w:r w:rsidRPr="0079245B">
        <w:rPr>
          <w:rFonts w:ascii="Arial" w:hAnsi="Arial" w:cs="Arial"/>
          <w:b/>
          <w:bCs/>
          <w:spacing w:val="-5"/>
          <w:lang w:val="es-NI"/>
        </w:rPr>
        <w:t xml:space="preserve"> </w:t>
      </w:r>
      <w:r w:rsidRPr="0079245B">
        <w:rPr>
          <w:rFonts w:ascii="Arial" w:hAnsi="Arial" w:cs="Arial"/>
          <w:b/>
          <w:bCs/>
          <w:lang w:val="es-NI"/>
        </w:rPr>
        <w:t xml:space="preserve">DE </w:t>
      </w:r>
      <w:r w:rsidRPr="0079245B">
        <w:rPr>
          <w:rFonts w:ascii="Arial" w:hAnsi="Arial" w:cs="Arial"/>
          <w:b/>
          <w:bCs/>
          <w:spacing w:val="6"/>
          <w:lang w:val="es-NI"/>
        </w:rPr>
        <w:t>SEGUROS</w:t>
      </w:r>
    </w:p>
    <w:p w:rsidR="0079245B" w:rsidRPr="0079245B" w:rsidRDefault="0079245B" w:rsidP="0079245B">
      <w:pPr>
        <w:autoSpaceDE w:val="0"/>
        <w:autoSpaceDN w:val="0"/>
        <w:spacing w:before="7" w:line="120" w:lineRule="exact"/>
        <w:jc w:val="center"/>
        <w:rPr>
          <w:rFonts w:ascii="Arial" w:hAnsi="Arial" w:cs="Arial"/>
          <w:lang w:val="es-NI"/>
        </w:rPr>
      </w:pPr>
    </w:p>
    <w:p w:rsidR="0079245B" w:rsidRPr="0079245B" w:rsidRDefault="0079245B" w:rsidP="0079245B">
      <w:pPr>
        <w:autoSpaceDE w:val="0"/>
        <w:autoSpaceDN w:val="0"/>
        <w:spacing w:before="7" w:line="120" w:lineRule="exact"/>
        <w:jc w:val="center"/>
        <w:rPr>
          <w:rFonts w:ascii="Arial" w:hAnsi="Arial" w:cs="Arial"/>
          <w:lang w:val="es-NI"/>
        </w:rPr>
      </w:pPr>
    </w:p>
    <w:p w:rsidR="0079245B" w:rsidRPr="00DE45F7" w:rsidRDefault="0079245B" w:rsidP="0079245B">
      <w:pPr>
        <w:tabs>
          <w:tab w:val="left" w:pos="8364"/>
        </w:tabs>
        <w:autoSpaceDE w:val="0"/>
        <w:autoSpaceDN w:val="0"/>
        <w:ind w:left="1447" w:right="701" w:hanging="29"/>
        <w:jc w:val="center"/>
        <w:rPr>
          <w:rFonts w:ascii="Arial" w:hAnsi="Arial" w:cs="Arial"/>
          <w:b/>
          <w:bCs/>
          <w:lang w:val="es-NI"/>
        </w:rPr>
      </w:pPr>
      <w:r w:rsidRPr="0079245B">
        <w:rPr>
          <w:rFonts w:ascii="Arial" w:hAnsi="Arial" w:cs="Arial"/>
          <w:b/>
          <w:bCs/>
          <w:lang w:val="es-NI"/>
        </w:rPr>
        <w:t>Re</w:t>
      </w:r>
      <w:r w:rsidRPr="0079245B">
        <w:rPr>
          <w:rFonts w:ascii="Arial" w:hAnsi="Arial" w:cs="Arial"/>
          <w:b/>
          <w:bCs/>
          <w:spacing w:val="1"/>
          <w:lang w:val="es-NI"/>
        </w:rPr>
        <w:t>s</w:t>
      </w:r>
      <w:r w:rsidRPr="0079245B">
        <w:rPr>
          <w:rFonts w:ascii="Arial" w:hAnsi="Arial" w:cs="Arial"/>
          <w:b/>
          <w:bCs/>
          <w:lang w:val="es-NI"/>
        </w:rPr>
        <w:t>olu</w:t>
      </w:r>
      <w:r w:rsidRPr="0079245B">
        <w:rPr>
          <w:rFonts w:ascii="Arial" w:hAnsi="Arial" w:cs="Arial"/>
          <w:b/>
          <w:bCs/>
          <w:spacing w:val="1"/>
          <w:lang w:val="es-NI"/>
        </w:rPr>
        <w:t>c</w:t>
      </w:r>
      <w:r w:rsidRPr="0079245B">
        <w:rPr>
          <w:rFonts w:ascii="Arial" w:hAnsi="Arial" w:cs="Arial"/>
          <w:b/>
          <w:bCs/>
          <w:lang w:val="es-NI"/>
        </w:rPr>
        <w:t xml:space="preserve">ión No. </w:t>
      </w:r>
      <w:r w:rsidR="00DE45F7" w:rsidRPr="00DE45F7">
        <w:rPr>
          <w:rFonts w:ascii="Arial" w:hAnsi="Arial" w:cs="Arial"/>
          <w:b/>
          <w:bCs/>
          <w:lang w:val="es-NI"/>
        </w:rPr>
        <w:t>CD-SIBOIF-1028-1-NOV21-2017</w:t>
      </w:r>
    </w:p>
    <w:p w:rsidR="008E5440" w:rsidRPr="000E77B2" w:rsidRDefault="008E5440" w:rsidP="008E5440">
      <w:pPr>
        <w:jc w:val="center"/>
        <w:rPr>
          <w:rFonts w:ascii="Arial" w:hAnsi="Arial" w:cs="Arial"/>
          <w:sz w:val="24"/>
          <w:szCs w:val="24"/>
          <w:lang w:val="es-NI"/>
        </w:rPr>
      </w:pPr>
    </w:p>
    <w:p w:rsidR="008E5440" w:rsidRPr="00AB484C" w:rsidRDefault="008E5440" w:rsidP="008E5440">
      <w:pPr>
        <w:jc w:val="center"/>
        <w:rPr>
          <w:rFonts w:ascii="Arial" w:hAnsi="Arial" w:cs="Arial"/>
          <w:b/>
          <w:sz w:val="24"/>
          <w:szCs w:val="24"/>
          <w:lang w:val="es-NI"/>
        </w:rPr>
      </w:pPr>
      <w:r w:rsidRPr="00AB484C">
        <w:rPr>
          <w:rFonts w:ascii="Arial" w:hAnsi="Arial" w:cs="Arial"/>
          <w:b/>
          <w:sz w:val="24"/>
          <w:szCs w:val="24"/>
          <w:lang w:val="es-NI"/>
        </w:rPr>
        <w:t>SECCIÓN 3</w:t>
      </w:r>
    </w:p>
    <w:p w:rsidR="008E5440" w:rsidRPr="00AB484C" w:rsidRDefault="008E5440" w:rsidP="008E5440">
      <w:pPr>
        <w:jc w:val="center"/>
        <w:rPr>
          <w:rFonts w:ascii="Arial" w:hAnsi="Arial" w:cs="Arial"/>
          <w:b/>
          <w:sz w:val="24"/>
          <w:szCs w:val="24"/>
          <w:lang w:val="es-NI"/>
        </w:rPr>
      </w:pPr>
      <w:r w:rsidRPr="00AB484C">
        <w:rPr>
          <w:rFonts w:ascii="Arial" w:hAnsi="Arial" w:cs="Arial"/>
          <w:b/>
          <w:sz w:val="24"/>
          <w:szCs w:val="24"/>
          <w:lang w:val="es-NI"/>
        </w:rPr>
        <w:t>OTRAS POLÍTICAS CONTABLES Y REVELACIONES</w:t>
      </w:r>
    </w:p>
    <w:p w:rsidR="008E5440" w:rsidRPr="00AB484C" w:rsidRDefault="008E5440" w:rsidP="00065475">
      <w:pPr>
        <w:spacing w:after="0" w:line="240" w:lineRule="auto"/>
        <w:jc w:val="center"/>
        <w:rPr>
          <w:rFonts w:ascii="Arial" w:hAnsi="Arial" w:cs="Arial"/>
          <w:sz w:val="24"/>
          <w:szCs w:val="24"/>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8E5440" w:rsidRDefault="008E5440" w:rsidP="00065475">
      <w:pPr>
        <w:spacing w:after="0" w:line="240" w:lineRule="auto"/>
        <w:jc w:val="center"/>
        <w:rPr>
          <w:rFonts w:ascii="Arial" w:hAnsi="Arial" w:cs="Arial"/>
          <w:lang w:val="es-NI"/>
        </w:rPr>
      </w:pPr>
    </w:p>
    <w:p w:rsidR="00065475" w:rsidRPr="00065475" w:rsidRDefault="00065475" w:rsidP="00065475">
      <w:pPr>
        <w:spacing w:after="0" w:line="240" w:lineRule="auto"/>
        <w:jc w:val="center"/>
        <w:rPr>
          <w:rFonts w:ascii="Arial" w:hAnsi="Arial" w:cs="Arial"/>
          <w:b/>
          <w:u w:val="single"/>
          <w:lang w:val="es-NI"/>
        </w:rPr>
      </w:pPr>
      <w:r w:rsidRPr="00065475">
        <w:rPr>
          <w:rFonts w:ascii="Arial" w:hAnsi="Arial" w:cs="Arial"/>
          <w:b/>
          <w:u w:val="single"/>
          <w:lang w:val="es-NI"/>
        </w:rPr>
        <w:lastRenderedPageBreak/>
        <w:t>INDICE</w:t>
      </w:r>
    </w:p>
    <w:p w:rsidR="00597409" w:rsidRDefault="00597409" w:rsidP="005708F5">
      <w:pPr>
        <w:spacing w:after="0" w:line="240" w:lineRule="auto"/>
        <w:jc w:val="right"/>
        <w:rPr>
          <w:rFonts w:ascii="Arial" w:hAnsi="Arial" w:cs="Arial"/>
          <w:lang w:val="es-NI"/>
        </w:rPr>
      </w:pPr>
    </w:p>
    <w:p w:rsidR="00597409" w:rsidRDefault="00597409" w:rsidP="005708F5">
      <w:pPr>
        <w:spacing w:after="0" w:line="240" w:lineRule="auto"/>
        <w:jc w:val="right"/>
        <w:rPr>
          <w:rFonts w:ascii="Arial" w:hAnsi="Arial" w:cs="Arial"/>
          <w:lang w:val="es-NI"/>
        </w:rPr>
      </w:pPr>
    </w:p>
    <w:p w:rsidR="00597409" w:rsidRDefault="00597409" w:rsidP="005708F5">
      <w:pPr>
        <w:spacing w:after="0" w:line="240" w:lineRule="auto"/>
        <w:jc w:val="right"/>
        <w:rPr>
          <w:rFonts w:ascii="Arial" w:hAnsi="Arial" w:cs="Arial"/>
          <w:lang w:val="es-NI"/>
        </w:rPr>
      </w:pPr>
    </w:p>
    <w:p w:rsidR="00EA53A2" w:rsidRDefault="00597409">
      <w:pPr>
        <w:pStyle w:val="TDC1"/>
        <w:rPr>
          <w:rFonts w:asciiTheme="minorHAnsi" w:eastAsiaTheme="minorEastAsia" w:hAnsiTheme="minorHAnsi" w:cstheme="minorBidi"/>
          <w:lang w:val="es-NI" w:eastAsia="es-NI"/>
        </w:rPr>
      </w:pPr>
      <w:r w:rsidRPr="00BB3C58">
        <w:rPr>
          <w:rFonts w:ascii="Arial" w:hAnsi="Arial" w:cs="Arial"/>
          <w:b/>
          <w:lang w:val="es-NI"/>
        </w:rPr>
        <w:fldChar w:fldCharType="begin"/>
      </w:r>
      <w:r w:rsidRPr="00BB3C58">
        <w:rPr>
          <w:rFonts w:ascii="Arial" w:hAnsi="Arial" w:cs="Arial"/>
          <w:b/>
          <w:lang w:val="es-NI"/>
        </w:rPr>
        <w:instrText xml:space="preserve"> TOC \o "1-3" \h \z \u </w:instrText>
      </w:r>
      <w:r w:rsidRPr="00BB3C58">
        <w:rPr>
          <w:rFonts w:ascii="Arial" w:hAnsi="Arial" w:cs="Arial"/>
          <w:b/>
          <w:lang w:val="es-NI"/>
        </w:rPr>
        <w:fldChar w:fldCharType="separate"/>
      </w:r>
      <w:hyperlink w:anchor="_Toc516736953" w:history="1">
        <w:r w:rsidR="00EA53A2" w:rsidRPr="00E95F7F">
          <w:rPr>
            <w:rStyle w:val="Hipervnculo"/>
          </w:rPr>
          <w:t>I.</w:t>
        </w:r>
        <w:r w:rsidR="00EA53A2">
          <w:rPr>
            <w:rFonts w:asciiTheme="minorHAnsi" w:eastAsiaTheme="minorEastAsia" w:hAnsiTheme="minorHAnsi" w:cstheme="minorBidi"/>
            <w:lang w:val="es-NI" w:eastAsia="es-NI"/>
          </w:rPr>
          <w:tab/>
        </w:r>
        <w:r w:rsidR="00EA53A2" w:rsidRPr="00206783">
          <w:rPr>
            <w:rStyle w:val="Hipervnculo"/>
            <w:b/>
          </w:rPr>
          <w:t>OTRAS POLITICAS CONTABLES</w:t>
        </w:r>
        <w:r w:rsidR="00EA53A2">
          <w:rPr>
            <w:webHidden/>
          </w:rPr>
          <w:tab/>
        </w:r>
        <w:r w:rsidR="00EA53A2">
          <w:rPr>
            <w:webHidden/>
          </w:rPr>
          <w:fldChar w:fldCharType="begin"/>
        </w:r>
        <w:r w:rsidR="00EA53A2">
          <w:rPr>
            <w:webHidden/>
          </w:rPr>
          <w:instrText xml:space="preserve"> PAGEREF _Toc516736953 \h </w:instrText>
        </w:r>
        <w:r w:rsidR="00EA53A2">
          <w:rPr>
            <w:webHidden/>
          </w:rPr>
        </w:r>
        <w:r w:rsidR="00EA53A2">
          <w:rPr>
            <w:webHidden/>
          </w:rPr>
          <w:fldChar w:fldCharType="separate"/>
        </w:r>
        <w:r w:rsidR="000831E4">
          <w:rPr>
            <w:webHidden/>
          </w:rPr>
          <w:t>1</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4" w:history="1">
        <w:r w:rsidR="00EA53A2" w:rsidRPr="00E95F7F">
          <w:rPr>
            <w:rStyle w:val="Hipervnculo"/>
          </w:rPr>
          <w:t>1.</w:t>
        </w:r>
        <w:r w:rsidR="00EA53A2">
          <w:rPr>
            <w:rFonts w:asciiTheme="minorHAnsi" w:eastAsiaTheme="minorEastAsia" w:hAnsiTheme="minorHAnsi" w:cstheme="minorBidi"/>
            <w:lang w:val="es-NI" w:eastAsia="es-NI"/>
          </w:rPr>
          <w:tab/>
        </w:r>
        <w:r w:rsidR="00EA53A2" w:rsidRPr="00E95F7F">
          <w:rPr>
            <w:rStyle w:val="Hipervnculo"/>
          </w:rPr>
          <w:t>INVERSIONES EN VALORES</w:t>
        </w:r>
        <w:r w:rsidR="00EA53A2">
          <w:rPr>
            <w:webHidden/>
          </w:rPr>
          <w:tab/>
        </w:r>
        <w:r w:rsidR="00EA53A2">
          <w:rPr>
            <w:webHidden/>
          </w:rPr>
          <w:fldChar w:fldCharType="begin"/>
        </w:r>
        <w:r w:rsidR="00EA53A2">
          <w:rPr>
            <w:webHidden/>
          </w:rPr>
          <w:instrText xml:space="preserve"> PAGEREF _Toc516736954 \h </w:instrText>
        </w:r>
        <w:r w:rsidR="00EA53A2">
          <w:rPr>
            <w:webHidden/>
          </w:rPr>
        </w:r>
        <w:r w:rsidR="00EA53A2">
          <w:rPr>
            <w:webHidden/>
          </w:rPr>
          <w:fldChar w:fldCharType="separate"/>
        </w:r>
        <w:r w:rsidR="000831E4">
          <w:rPr>
            <w:webHidden/>
          </w:rPr>
          <w:t>1</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5" w:history="1">
        <w:r w:rsidR="00EA53A2" w:rsidRPr="00E95F7F">
          <w:rPr>
            <w:rStyle w:val="Hipervnculo"/>
          </w:rPr>
          <w:t>2.</w:t>
        </w:r>
        <w:r w:rsidR="00EA53A2">
          <w:rPr>
            <w:rFonts w:asciiTheme="minorHAnsi" w:eastAsiaTheme="minorEastAsia" w:hAnsiTheme="minorHAnsi" w:cstheme="minorBidi"/>
            <w:lang w:val="es-NI" w:eastAsia="es-NI"/>
          </w:rPr>
          <w:tab/>
        </w:r>
        <w:r w:rsidR="00EA53A2" w:rsidRPr="00E95F7F">
          <w:rPr>
            <w:rStyle w:val="Hipervnculo"/>
          </w:rPr>
          <w:t>INSTRUMENTOS DE PATRIMONIO A VALOR RAZONABLE CON CAMBIOS EN OTRO RESULTADO INTEGRAL</w:t>
        </w:r>
        <w:r w:rsidR="00EA53A2">
          <w:rPr>
            <w:webHidden/>
          </w:rPr>
          <w:tab/>
        </w:r>
        <w:r w:rsidR="00EA53A2">
          <w:rPr>
            <w:webHidden/>
          </w:rPr>
          <w:fldChar w:fldCharType="begin"/>
        </w:r>
        <w:r w:rsidR="00EA53A2">
          <w:rPr>
            <w:webHidden/>
          </w:rPr>
          <w:instrText xml:space="preserve"> PAGEREF _Toc516736955 \h </w:instrText>
        </w:r>
        <w:r w:rsidR="00EA53A2">
          <w:rPr>
            <w:webHidden/>
          </w:rPr>
        </w:r>
        <w:r w:rsidR="00EA53A2">
          <w:rPr>
            <w:webHidden/>
          </w:rPr>
          <w:fldChar w:fldCharType="separate"/>
        </w:r>
        <w:r w:rsidR="000831E4">
          <w:rPr>
            <w:webHidden/>
          </w:rPr>
          <w:t>6</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6" w:history="1">
        <w:r w:rsidR="00EA53A2" w:rsidRPr="00E95F7F">
          <w:rPr>
            <w:rStyle w:val="Hipervnculo"/>
          </w:rPr>
          <w:t>3.</w:t>
        </w:r>
        <w:r w:rsidR="00EA53A2">
          <w:rPr>
            <w:rFonts w:asciiTheme="minorHAnsi" w:eastAsiaTheme="minorEastAsia" w:hAnsiTheme="minorHAnsi" w:cstheme="minorBidi"/>
            <w:lang w:val="es-NI" w:eastAsia="es-NI"/>
          </w:rPr>
          <w:tab/>
        </w:r>
        <w:r w:rsidR="00EA53A2" w:rsidRPr="00E95F7F">
          <w:rPr>
            <w:rStyle w:val="Hipervnculo"/>
          </w:rPr>
          <w:t>CARTERA DE CREDITOS</w:t>
        </w:r>
        <w:r w:rsidR="00EA53A2">
          <w:rPr>
            <w:webHidden/>
          </w:rPr>
          <w:tab/>
        </w:r>
        <w:r w:rsidR="00EA53A2">
          <w:rPr>
            <w:webHidden/>
          </w:rPr>
          <w:fldChar w:fldCharType="begin"/>
        </w:r>
        <w:r w:rsidR="00EA53A2">
          <w:rPr>
            <w:webHidden/>
          </w:rPr>
          <w:instrText xml:space="preserve"> PAGEREF _Toc516736956 \h </w:instrText>
        </w:r>
        <w:r w:rsidR="00EA53A2">
          <w:rPr>
            <w:webHidden/>
          </w:rPr>
        </w:r>
        <w:r w:rsidR="00EA53A2">
          <w:rPr>
            <w:webHidden/>
          </w:rPr>
          <w:fldChar w:fldCharType="separate"/>
        </w:r>
        <w:r w:rsidR="000831E4">
          <w:rPr>
            <w:webHidden/>
          </w:rPr>
          <w:t>6</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7" w:history="1">
        <w:r w:rsidR="00EA53A2" w:rsidRPr="00E95F7F">
          <w:rPr>
            <w:rStyle w:val="Hipervnculo"/>
          </w:rPr>
          <w:t>4.</w:t>
        </w:r>
        <w:r w:rsidR="00EA53A2">
          <w:rPr>
            <w:rFonts w:asciiTheme="minorHAnsi" w:eastAsiaTheme="minorEastAsia" w:hAnsiTheme="minorHAnsi" w:cstheme="minorBidi"/>
            <w:lang w:val="es-NI" w:eastAsia="es-NI"/>
          </w:rPr>
          <w:tab/>
        </w:r>
        <w:r w:rsidR="00EA53A2" w:rsidRPr="00E95F7F">
          <w:rPr>
            <w:rStyle w:val="Hipervnculo"/>
          </w:rPr>
          <w:t>OTRAS CUENTAS POR COBRAR</w:t>
        </w:r>
        <w:r w:rsidR="00EA53A2">
          <w:rPr>
            <w:webHidden/>
          </w:rPr>
          <w:tab/>
        </w:r>
        <w:r w:rsidR="00EA53A2">
          <w:rPr>
            <w:webHidden/>
          </w:rPr>
          <w:fldChar w:fldCharType="begin"/>
        </w:r>
        <w:r w:rsidR="00EA53A2">
          <w:rPr>
            <w:webHidden/>
          </w:rPr>
          <w:instrText xml:space="preserve"> PAGEREF _Toc516736957 \h </w:instrText>
        </w:r>
        <w:r w:rsidR="00EA53A2">
          <w:rPr>
            <w:webHidden/>
          </w:rPr>
        </w:r>
        <w:r w:rsidR="00EA53A2">
          <w:rPr>
            <w:webHidden/>
          </w:rPr>
          <w:fldChar w:fldCharType="separate"/>
        </w:r>
        <w:r w:rsidR="000831E4">
          <w:rPr>
            <w:webHidden/>
          </w:rPr>
          <w:t>9</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8" w:history="1">
        <w:r w:rsidR="00EA53A2" w:rsidRPr="00E95F7F">
          <w:rPr>
            <w:rStyle w:val="Hipervnculo"/>
          </w:rPr>
          <w:t>5.</w:t>
        </w:r>
        <w:r w:rsidR="00EA53A2">
          <w:rPr>
            <w:rFonts w:asciiTheme="minorHAnsi" w:eastAsiaTheme="minorEastAsia" w:hAnsiTheme="minorHAnsi" w:cstheme="minorBidi"/>
            <w:lang w:val="es-NI" w:eastAsia="es-NI"/>
          </w:rPr>
          <w:tab/>
        </w:r>
        <w:r w:rsidR="00EA53A2" w:rsidRPr="00E95F7F">
          <w:rPr>
            <w:rStyle w:val="Hipervnculo"/>
          </w:rPr>
          <w:t>ACTIVOS RECIBIDOS EN RECUPERACIÓN DE CRÉDITOS</w:t>
        </w:r>
        <w:r w:rsidR="00EA53A2">
          <w:rPr>
            <w:webHidden/>
          </w:rPr>
          <w:tab/>
        </w:r>
        <w:r w:rsidR="00EA53A2">
          <w:rPr>
            <w:webHidden/>
          </w:rPr>
          <w:fldChar w:fldCharType="begin"/>
        </w:r>
        <w:r w:rsidR="00EA53A2">
          <w:rPr>
            <w:webHidden/>
          </w:rPr>
          <w:instrText xml:space="preserve"> PAGEREF _Toc516736958 \h </w:instrText>
        </w:r>
        <w:r w:rsidR="00EA53A2">
          <w:rPr>
            <w:webHidden/>
          </w:rPr>
        </w:r>
        <w:r w:rsidR="00EA53A2">
          <w:rPr>
            <w:webHidden/>
          </w:rPr>
          <w:fldChar w:fldCharType="separate"/>
        </w:r>
        <w:r w:rsidR="000831E4">
          <w:rPr>
            <w:webHidden/>
          </w:rPr>
          <w:t>9</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59" w:history="1">
        <w:r w:rsidR="00EA53A2" w:rsidRPr="00E95F7F">
          <w:rPr>
            <w:rStyle w:val="Hipervnculo"/>
          </w:rPr>
          <w:t>II.</w:t>
        </w:r>
        <w:r w:rsidR="00EA53A2">
          <w:rPr>
            <w:rFonts w:asciiTheme="minorHAnsi" w:eastAsiaTheme="minorEastAsia" w:hAnsiTheme="minorHAnsi" w:cstheme="minorBidi"/>
            <w:lang w:val="es-NI" w:eastAsia="es-NI"/>
          </w:rPr>
          <w:tab/>
        </w:r>
        <w:r w:rsidR="00EA53A2" w:rsidRPr="00206783">
          <w:rPr>
            <w:rStyle w:val="Hipervnculo"/>
            <w:b/>
          </w:rPr>
          <w:t>NOTAS A LOS ESTADOS FINANCIEROS</w:t>
        </w:r>
        <w:r w:rsidR="00EA53A2">
          <w:rPr>
            <w:webHidden/>
          </w:rPr>
          <w:tab/>
        </w:r>
        <w:r w:rsidR="00EA53A2">
          <w:rPr>
            <w:webHidden/>
          </w:rPr>
          <w:fldChar w:fldCharType="begin"/>
        </w:r>
        <w:r w:rsidR="00EA53A2">
          <w:rPr>
            <w:webHidden/>
          </w:rPr>
          <w:instrText xml:space="preserve"> PAGEREF _Toc516736959 \h </w:instrText>
        </w:r>
        <w:r w:rsidR="00EA53A2">
          <w:rPr>
            <w:webHidden/>
          </w:rPr>
        </w:r>
        <w:r w:rsidR="00EA53A2">
          <w:rPr>
            <w:webHidden/>
          </w:rPr>
          <w:fldChar w:fldCharType="separate"/>
        </w:r>
        <w:r w:rsidR="000831E4">
          <w:rPr>
            <w:webHidden/>
          </w:rPr>
          <w:t>9</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60" w:history="1">
        <w:r w:rsidR="00EA53A2" w:rsidRPr="00E95F7F">
          <w:rPr>
            <w:rStyle w:val="Hipervnculo"/>
          </w:rPr>
          <w:t>1.</w:t>
        </w:r>
        <w:r w:rsidR="00EA53A2">
          <w:rPr>
            <w:rFonts w:asciiTheme="minorHAnsi" w:eastAsiaTheme="minorEastAsia" w:hAnsiTheme="minorHAnsi" w:cstheme="minorBidi"/>
            <w:lang w:val="es-NI" w:eastAsia="es-NI"/>
          </w:rPr>
          <w:tab/>
        </w:r>
        <w:r w:rsidR="00EA53A2" w:rsidRPr="00E95F7F">
          <w:rPr>
            <w:rStyle w:val="Hipervnculo"/>
          </w:rPr>
          <w:t>INVERSIONES EN INSTRUMENTOS FINANCIEROS</w:t>
        </w:r>
        <w:r w:rsidR="00EA53A2">
          <w:rPr>
            <w:webHidden/>
          </w:rPr>
          <w:tab/>
        </w:r>
        <w:r w:rsidR="00EA53A2">
          <w:rPr>
            <w:webHidden/>
          </w:rPr>
          <w:fldChar w:fldCharType="begin"/>
        </w:r>
        <w:r w:rsidR="00EA53A2">
          <w:rPr>
            <w:webHidden/>
          </w:rPr>
          <w:instrText xml:space="preserve"> PAGEREF _Toc516736960 \h </w:instrText>
        </w:r>
        <w:r w:rsidR="00EA53A2">
          <w:rPr>
            <w:webHidden/>
          </w:rPr>
        </w:r>
        <w:r w:rsidR="00EA53A2">
          <w:rPr>
            <w:webHidden/>
          </w:rPr>
          <w:fldChar w:fldCharType="separate"/>
        </w:r>
        <w:r w:rsidR="000831E4">
          <w:rPr>
            <w:webHidden/>
          </w:rPr>
          <w:t>9</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61" w:history="1">
        <w:r w:rsidR="00EA53A2" w:rsidRPr="00E95F7F">
          <w:rPr>
            <w:rStyle w:val="Hipervnculo"/>
          </w:rPr>
          <w:t>2.</w:t>
        </w:r>
        <w:r w:rsidR="00EA53A2">
          <w:rPr>
            <w:rFonts w:asciiTheme="minorHAnsi" w:eastAsiaTheme="minorEastAsia" w:hAnsiTheme="minorHAnsi" w:cstheme="minorBidi"/>
            <w:lang w:val="es-NI" w:eastAsia="es-NI"/>
          </w:rPr>
          <w:tab/>
        </w:r>
        <w:r w:rsidR="00EA53A2" w:rsidRPr="00E95F7F">
          <w:rPr>
            <w:rStyle w:val="Hipervnculo"/>
          </w:rPr>
          <w:t>CARTERA DE CRÉDITOS</w:t>
        </w:r>
        <w:r w:rsidR="00EA53A2">
          <w:rPr>
            <w:webHidden/>
          </w:rPr>
          <w:tab/>
        </w:r>
        <w:r w:rsidR="00EA53A2">
          <w:rPr>
            <w:webHidden/>
          </w:rPr>
          <w:fldChar w:fldCharType="begin"/>
        </w:r>
        <w:r w:rsidR="00EA53A2">
          <w:rPr>
            <w:webHidden/>
          </w:rPr>
          <w:instrText xml:space="preserve"> PAGEREF _Toc516736961 \h </w:instrText>
        </w:r>
        <w:r w:rsidR="00EA53A2">
          <w:rPr>
            <w:webHidden/>
          </w:rPr>
        </w:r>
        <w:r w:rsidR="00EA53A2">
          <w:rPr>
            <w:webHidden/>
          </w:rPr>
          <w:fldChar w:fldCharType="separate"/>
        </w:r>
        <w:r w:rsidR="000831E4">
          <w:rPr>
            <w:webHidden/>
          </w:rPr>
          <w:t>11</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62" w:history="1">
        <w:r w:rsidR="00EA53A2" w:rsidRPr="00E95F7F">
          <w:rPr>
            <w:rStyle w:val="Hipervnculo"/>
          </w:rPr>
          <w:t>3.</w:t>
        </w:r>
        <w:r w:rsidR="00EA53A2">
          <w:rPr>
            <w:rFonts w:asciiTheme="minorHAnsi" w:eastAsiaTheme="minorEastAsia" w:hAnsiTheme="minorHAnsi" w:cstheme="minorBidi"/>
            <w:lang w:val="es-NI" w:eastAsia="es-NI"/>
          </w:rPr>
          <w:tab/>
        </w:r>
        <w:r w:rsidR="00EA53A2" w:rsidRPr="00E95F7F">
          <w:rPr>
            <w:rStyle w:val="Hipervnculo"/>
          </w:rPr>
          <w:t>CUENTAS POR COBRAR</w:t>
        </w:r>
        <w:r w:rsidR="00EA53A2">
          <w:rPr>
            <w:webHidden/>
          </w:rPr>
          <w:tab/>
        </w:r>
        <w:r w:rsidR="00EA53A2">
          <w:rPr>
            <w:webHidden/>
          </w:rPr>
          <w:fldChar w:fldCharType="begin"/>
        </w:r>
        <w:r w:rsidR="00EA53A2">
          <w:rPr>
            <w:webHidden/>
          </w:rPr>
          <w:instrText xml:space="preserve"> PAGEREF _Toc516736962 \h </w:instrText>
        </w:r>
        <w:r w:rsidR="00EA53A2">
          <w:rPr>
            <w:webHidden/>
          </w:rPr>
        </w:r>
        <w:r w:rsidR="00EA53A2">
          <w:rPr>
            <w:webHidden/>
          </w:rPr>
          <w:fldChar w:fldCharType="separate"/>
        </w:r>
        <w:r w:rsidR="000831E4">
          <w:rPr>
            <w:webHidden/>
          </w:rPr>
          <w:t>13</w:t>
        </w:r>
        <w:r w:rsidR="00EA53A2">
          <w:rPr>
            <w:webHidden/>
          </w:rPr>
          <w:fldChar w:fldCharType="end"/>
        </w:r>
      </w:hyperlink>
    </w:p>
    <w:p w:rsidR="00EA53A2" w:rsidRDefault="00EC4A4D">
      <w:pPr>
        <w:pStyle w:val="TDC1"/>
        <w:rPr>
          <w:rFonts w:asciiTheme="minorHAnsi" w:eastAsiaTheme="minorEastAsia" w:hAnsiTheme="minorHAnsi" w:cstheme="minorBidi"/>
          <w:lang w:val="es-NI" w:eastAsia="es-NI"/>
        </w:rPr>
      </w:pPr>
      <w:hyperlink w:anchor="_Toc516736963" w:history="1">
        <w:r w:rsidR="00EA53A2" w:rsidRPr="00E95F7F">
          <w:rPr>
            <w:rStyle w:val="Hipervnculo"/>
          </w:rPr>
          <w:t>4.</w:t>
        </w:r>
        <w:r w:rsidR="00EA53A2">
          <w:rPr>
            <w:rFonts w:asciiTheme="minorHAnsi" w:eastAsiaTheme="minorEastAsia" w:hAnsiTheme="minorHAnsi" w:cstheme="minorBidi"/>
            <w:lang w:val="es-NI" w:eastAsia="es-NI"/>
          </w:rPr>
          <w:tab/>
        </w:r>
        <w:r w:rsidR="00EA53A2" w:rsidRPr="00E95F7F">
          <w:rPr>
            <w:rStyle w:val="Hipervnculo"/>
          </w:rPr>
          <w:t>BIENES RECIBIDOS EN RECUPERACIÓN DE CRÉDITOS</w:t>
        </w:r>
        <w:r w:rsidR="00EA53A2">
          <w:rPr>
            <w:webHidden/>
          </w:rPr>
          <w:tab/>
        </w:r>
        <w:r w:rsidR="00EA53A2">
          <w:rPr>
            <w:webHidden/>
          </w:rPr>
          <w:fldChar w:fldCharType="begin"/>
        </w:r>
        <w:r w:rsidR="00EA53A2">
          <w:rPr>
            <w:webHidden/>
          </w:rPr>
          <w:instrText xml:space="preserve"> PAGEREF _Toc516736963 \h </w:instrText>
        </w:r>
        <w:r w:rsidR="00EA53A2">
          <w:rPr>
            <w:webHidden/>
          </w:rPr>
        </w:r>
        <w:r w:rsidR="00EA53A2">
          <w:rPr>
            <w:webHidden/>
          </w:rPr>
          <w:fldChar w:fldCharType="separate"/>
        </w:r>
        <w:r w:rsidR="000831E4">
          <w:rPr>
            <w:webHidden/>
          </w:rPr>
          <w:t>14</w:t>
        </w:r>
        <w:r w:rsidR="00EA53A2">
          <w:rPr>
            <w:webHidden/>
          </w:rPr>
          <w:fldChar w:fldCharType="end"/>
        </w:r>
      </w:hyperlink>
    </w:p>
    <w:p w:rsidR="00597409" w:rsidRPr="00BB3C58" w:rsidRDefault="00597409" w:rsidP="00597409">
      <w:pPr>
        <w:spacing w:after="0" w:line="240" w:lineRule="auto"/>
        <w:rPr>
          <w:rFonts w:ascii="Arial" w:hAnsi="Arial" w:cs="Arial"/>
          <w:b/>
          <w:lang w:val="es-NI"/>
        </w:rPr>
      </w:pPr>
      <w:r w:rsidRPr="00BB3C58">
        <w:rPr>
          <w:rFonts w:ascii="Arial" w:hAnsi="Arial" w:cs="Arial"/>
          <w:b/>
          <w:lang w:val="es-NI"/>
        </w:rPr>
        <w:fldChar w:fldCharType="end"/>
      </w:r>
    </w:p>
    <w:p w:rsidR="00597409" w:rsidRPr="00BB3C58" w:rsidRDefault="00597409" w:rsidP="00597409">
      <w:pPr>
        <w:spacing w:after="0" w:line="240" w:lineRule="auto"/>
        <w:rPr>
          <w:rFonts w:ascii="Arial" w:hAnsi="Arial" w:cs="Arial"/>
          <w:b/>
          <w:lang w:val="es-NI"/>
        </w:rPr>
      </w:pPr>
    </w:p>
    <w:p w:rsidR="00597409" w:rsidRPr="00BB3C58" w:rsidRDefault="00597409" w:rsidP="00597409">
      <w:pPr>
        <w:spacing w:after="0" w:line="240" w:lineRule="auto"/>
        <w:rPr>
          <w:rFonts w:ascii="Arial" w:hAnsi="Arial" w:cs="Arial"/>
          <w:b/>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597409" w:rsidRDefault="00597409" w:rsidP="00597409">
      <w:pPr>
        <w:spacing w:after="0" w:line="240" w:lineRule="auto"/>
        <w:rPr>
          <w:rFonts w:ascii="Arial" w:hAnsi="Arial" w:cs="Arial"/>
          <w:lang w:val="es-NI"/>
        </w:rPr>
      </w:pPr>
    </w:p>
    <w:p w:rsidR="00AB484C" w:rsidRDefault="00AB484C" w:rsidP="00597409">
      <w:pPr>
        <w:spacing w:after="0" w:line="240" w:lineRule="auto"/>
        <w:rPr>
          <w:rFonts w:ascii="Arial" w:hAnsi="Arial" w:cs="Arial"/>
          <w:lang w:val="es-NI"/>
        </w:rPr>
      </w:pPr>
    </w:p>
    <w:p w:rsidR="00AB484C" w:rsidRDefault="00AB484C" w:rsidP="00597409">
      <w:pPr>
        <w:spacing w:after="0" w:line="240" w:lineRule="auto"/>
        <w:rPr>
          <w:rFonts w:ascii="Arial" w:hAnsi="Arial" w:cs="Arial"/>
          <w:lang w:val="es-NI"/>
        </w:rPr>
      </w:pPr>
    </w:p>
    <w:p w:rsidR="00AB484C" w:rsidRDefault="00AB484C" w:rsidP="00597409">
      <w:pPr>
        <w:spacing w:after="0" w:line="240" w:lineRule="auto"/>
        <w:rPr>
          <w:rFonts w:ascii="Arial" w:hAnsi="Arial" w:cs="Arial"/>
          <w:lang w:val="es-NI"/>
        </w:rPr>
      </w:pPr>
    </w:p>
    <w:p w:rsidR="00BB3C58" w:rsidRDefault="00BB3C58" w:rsidP="00597409">
      <w:pPr>
        <w:spacing w:after="0" w:line="240" w:lineRule="auto"/>
        <w:rPr>
          <w:rFonts w:ascii="Arial" w:hAnsi="Arial" w:cs="Arial"/>
          <w:lang w:val="es-NI"/>
        </w:rPr>
        <w:sectPr w:rsidR="00BB3C58" w:rsidSect="008E5440">
          <w:headerReference w:type="default" r:id="rId11"/>
          <w:footerReference w:type="default" r:id="rId12"/>
          <w:pgSz w:w="12240" w:h="15840"/>
          <w:pgMar w:top="2269" w:right="1361" w:bottom="1440" w:left="1361" w:header="720" w:footer="544" w:gutter="0"/>
          <w:cols w:space="720"/>
          <w:docGrid w:linePitch="360"/>
        </w:sectPr>
      </w:pPr>
    </w:p>
    <w:p w:rsidR="00597409" w:rsidRPr="00E001B0" w:rsidRDefault="00565239" w:rsidP="009764E9">
      <w:pPr>
        <w:pStyle w:val="Romanos"/>
        <w:tabs>
          <w:tab w:val="clear" w:pos="540"/>
          <w:tab w:val="num" w:pos="567"/>
        </w:tabs>
        <w:ind w:left="567" w:hanging="567"/>
      </w:pPr>
      <w:bookmarkStart w:id="0" w:name="_Toc516736953"/>
      <w:r w:rsidRPr="00E001B0">
        <w:lastRenderedPageBreak/>
        <w:t>OTRAS POLITICAS CONTABLES</w:t>
      </w:r>
      <w:bookmarkEnd w:id="0"/>
    </w:p>
    <w:p w:rsidR="00565239" w:rsidRDefault="00565239" w:rsidP="0006048F">
      <w:pPr>
        <w:spacing w:after="0" w:line="240" w:lineRule="auto"/>
        <w:rPr>
          <w:rFonts w:ascii="Arial" w:hAnsi="Arial" w:cs="Arial"/>
          <w:lang w:val="es-NI"/>
        </w:rPr>
      </w:pPr>
    </w:p>
    <w:p w:rsidR="0006048F" w:rsidRDefault="0006048F" w:rsidP="0006048F">
      <w:pPr>
        <w:spacing w:after="0" w:line="240" w:lineRule="auto"/>
        <w:ind w:left="567"/>
        <w:jc w:val="both"/>
        <w:rPr>
          <w:rFonts w:ascii="Arial" w:hAnsi="Arial" w:cs="Arial"/>
          <w:bCs/>
          <w:color w:val="FF0000"/>
          <w:lang w:val="es-NI"/>
        </w:rPr>
      </w:pPr>
      <w:r w:rsidRPr="008A5923">
        <w:rPr>
          <w:rFonts w:ascii="Arial" w:hAnsi="Arial" w:cs="Arial"/>
          <w:bCs/>
          <w:color w:val="FF0000"/>
          <w:lang w:val="es-NI"/>
        </w:rPr>
        <w:t>Las NIIF listadas en la Sección 2, deben ser ap</w:t>
      </w:r>
      <w:bookmarkStart w:id="1" w:name="_GoBack"/>
      <w:bookmarkEnd w:id="1"/>
      <w:r w:rsidRPr="008A5923">
        <w:rPr>
          <w:rFonts w:ascii="Arial" w:hAnsi="Arial" w:cs="Arial"/>
          <w:bCs/>
          <w:color w:val="FF0000"/>
          <w:lang w:val="es-NI"/>
        </w:rPr>
        <w:t>licadas en su totalidad, excepto por los tratamientos señalados en esta sección y otras normas emitidas por la Superintendencia de Bancos y de Otras Instituciones Financieras.</w:t>
      </w:r>
    </w:p>
    <w:p w:rsidR="0006048F" w:rsidRPr="0006048F" w:rsidRDefault="0006048F" w:rsidP="0006048F">
      <w:pPr>
        <w:spacing w:after="0" w:line="240" w:lineRule="auto"/>
        <w:ind w:left="567"/>
        <w:jc w:val="both"/>
        <w:rPr>
          <w:bCs/>
          <w:color w:val="FF0000"/>
          <w:lang w:val="es-NI"/>
        </w:rPr>
      </w:pPr>
    </w:p>
    <w:p w:rsidR="006A4FD1" w:rsidRPr="00065475" w:rsidRDefault="006A4FD1" w:rsidP="008D7F1E">
      <w:pPr>
        <w:pStyle w:val="Numerales"/>
        <w:tabs>
          <w:tab w:val="clear" w:pos="540"/>
          <w:tab w:val="num" w:pos="567"/>
          <w:tab w:val="left" w:pos="709"/>
        </w:tabs>
        <w:ind w:left="567" w:hanging="283"/>
      </w:pPr>
      <w:bookmarkStart w:id="2" w:name="_Toc516736954"/>
      <w:r w:rsidRPr="00065475">
        <w:t>INVERSIONES EN VALORES</w:t>
      </w:r>
      <w:bookmarkEnd w:id="2"/>
    </w:p>
    <w:p w:rsidR="0045590F" w:rsidRPr="0045590F" w:rsidRDefault="0045590F" w:rsidP="0045590F">
      <w:pPr>
        <w:pStyle w:val="Subttulo"/>
        <w:numPr>
          <w:ilvl w:val="0"/>
          <w:numId w:val="0"/>
        </w:numPr>
        <w:tabs>
          <w:tab w:val="left" w:pos="1134"/>
          <w:tab w:val="left" w:pos="1418"/>
        </w:tabs>
        <w:ind w:left="709"/>
        <w:rPr>
          <w:rFonts w:ascii="Arial" w:hAnsi="Arial" w:cs="Arial"/>
          <w:b/>
          <w:highlight w:val="yellow"/>
        </w:rPr>
      </w:pPr>
    </w:p>
    <w:p w:rsidR="0045590F" w:rsidRPr="00EF42F5" w:rsidRDefault="006A4FD1" w:rsidP="008D7F1E">
      <w:pPr>
        <w:pStyle w:val="Subttulo"/>
        <w:numPr>
          <w:ilvl w:val="1"/>
          <w:numId w:val="10"/>
        </w:numPr>
        <w:tabs>
          <w:tab w:val="left" w:pos="1134"/>
        </w:tabs>
        <w:ind w:left="567" w:firstLine="0"/>
        <w:rPr>
          <w:rFonts w:ascii="Arial" w:hAnsi="Arial" w:cs="Arial"/>
          <w:b/>
        </w:rPr>
      </w:pPr>
      <w:r w:rsidRPr="00EF42F5">
        <w:rPr>
          <w:rFonts w:ascii="Arial" w:hAnsi="Arial" w:cs="Arial"/>
          <w:b/>
          <w:color w:val="auto"/>
        </w:rPr>
        <w:t>DEFINICIONES</w:t>
      </w:r>
    </w:p>
    <w:p w:rsidR="00A91A90" w:rsidRPr="00D414FB" w:rsidRDefault="00A91A90" w:rsidP="00A91A90">
      <w:pPr>
        <w:tabs>
          <w:tab w:val="left" w:pos="-720"/>
          <w:tab w:val="left" w:pos="0"/>
          <w:tab w:val="left" w:pos="1080"/>
          <w:tab w:val="left" w:pos="1440"/>
        </w:tabs>
        <w:suppressAutoHyphens/>
        <w:spacing w:after="0" w:line="240" w:lineRule="auto"/>
        <w:ind w:left="544"/>
        <w:jc w:val="both"/>
        <w:rPr>
          <w:rFonts w:ascii="Arial" w:hAnsi="Arial" w:cs="Arial"/>
          <w:bCs/>
          <w:lang w:val="es-NI"/>
        </w:rPr>
      </w:pPr>
      <w:r w:rsidRPr="00D414FB">
        <w:rPr>
          <w:rFonts w:ascii="Arial" w:hAnsi="Arial" w:cs="Arial"/>
          <w:b/>
          <w:bCs/>
          <w:lang w:val="es-NI"/>
        </w:rPr>
        <w:t>Instrumento financiero</w:t>
      </w:r>
      <w:r w:rsidR="00043E51" w:rsidRPr="00D414FB">
        <w:rPr>
          <w:rFonts w:ascii="Arial" w:hAnsi="Arial" w:cs="Arial"/>
          <w:b/>
          <w:bCs/>
          <w:lang w:val="es-NI"/>
        </w:rPr>
        <w:t>:</w:t>
      </w:r>
      <w:r w:rsidRPr="00D414FB">
        <w:rPr>
          <w:rFonts w:ascii="Arial" w:hAnsi="Arial" w:cs="Arial"/>
          <w:bCs/>
          <w:lang w:val="es-NI"/>
        </w:rPr>
        <w:t xml:space="preserve"> </w:t>
      </w:r>
      <w:r w:rsidR="00043E51" w:rsidRPr="00D414FB">
        <w:rPr>
          <w:rFonts w:ascii="Arial" w:hAnsi="Arial" w:cs="Arial"/>
          <w:bCs/>
          <w:lang w:val="es-NI"/>
        </w:rPr>
        <w:t>E</w:t>
      </w:r>
      <w:r w:rsidRPr="00D414FB">
        <w:rPr>
          <w:rFonts w:ascii="Arial" w:hAnsi="Arial" w:cs="Arial"/>
          <w:bCs/>
          <w:lang w:val="es-NI"/>
        </w:rPr>
        <w:t>s cualquier contrato que dé lugar, simultáneamente, a un activo financiero en una institución y a un pasivo financiero o a un instrumento de patrimonio en otra institución, exceptuando las inversiones correspondientes a participaciones en empresas subsidiarias, asociadas y negocios conjuntos.</w:t>
      </w:r>
    </w:p>
    <w:p w:rsidR="00A91A90" w:rsidRPr="00D414FB" w:rsidRDefault="00A91A90" w:rsidP="00CF7AB7">
      <w:pPr>
        <w:tabs>
          <w:tab w:val="left" w:pos="-720"/>
          <w:tab w:val="left" w:pos="0"/>
          <w:tab w:val="left" w:pos="1080"/>
          <w:tab w:val="left" w:pos="1440"/>
        </w:tabs>
        <w:suppressAutoHyphens/>
        <w:spacing w:after="0" w:line="240" w:lineRule="auto"/>
        <w:ind w:left="544"/>
        <w:jc w:val="both"/>
        <w:rPr>
          <w:rFonts w:ascii="Arial" w:hAnsi="Arial" w:cs="Arial"/>
          <w:b/>
          <w:bCs/>
          <w:lang w:val="es-NI"/>
        </w:rPr>
      </w:pPr>
    </w:p>
    <w:p w:rsidR="00572867" w:rsidRPr="00D414FB" w:rsidRDefault="00572867" w:rsidP="00CF7AB7">
      <w:pPr>
        <w:tabs>
          <w:tab w:val="left" w:pos="-720"/>
          <w:tab w:val="left" w:pos="0"/>
          <w:tab w:val="left" w:pos="1080"/>
          <w:tab w:val="left" w:pos="1440"/>
        </w:tabs>
        <w:suppressAutoHyphens/>
        <w:spacing w:after="0" w:line="240" w:lineRule="auto"/>
        <w:ind w:left="544"/>
        <w:jc w:val="both"/>
        <w:rPr>
          <w:rFonts w:ascii="Arial" w:hAnsi="Arial" w:cs="Arial"/>
          <w:bCs/>
          <w:lang w:val="es-NI"/>
        </w:rPr>
      </w:pPr>
      <w:r w:rsidRPr="00D414FB">
        <w:rPr>
          <w:rFonts w:ascii="Arial" w:hAnsi="Arial" w:cs="Arial"/>
          <w:b/>
          <w:bCs/>
          <w:lang w:val="es-NI"/>
        </w:rPr>
        <w:t>Método de la tasa de interés efectiva</w:t>
      </w:r>
      <w:r w:rsidR="00043E51" w:rsidRPr="00D414FB">
        <w:rPr>
          <w:rFonts w:ascii="Arial" w:hAnsi="Arial" w:cs="Arial"/>
          <w:b/>
          <w:bCs/>
          <w:lang w:val="es-NI"/>
        </w:rPr>
        <w:t>:</w:t>
      </w:r>
      <w:r w:rsidR="00DC2129" w:rsidRPr="00D414FB">
        <w:rPr>
          <w:rFonts w:ascii="Arial" w:hAnsi="Arial" w:cs="Arial"/>
          <w:b/>
          <w:bCs/>
          <w:lang w:val="es-NI"/>
        </w:rPr>
        <w:t xml:space="preserve"> </w:t>
      </w:r>
      <w:r w:rsidRPr="00D414FB">
        <w:rPr>
          <w:rFonts w:ascii="Arial" w:hAnsi="Arial" w:cs="Arial"/>
          <w:bCs/>
          <w:lang w:val="es-NI"/>
        </w:rPr>
        <w:t>Es un método de cálculo del costo amortizado de un activo financiero utilizado para la imputación del rendimiento diario de las inversiones en valores. Este método consiste en transformar la tasa de rendimiento a vencimiento en una tasa equivalente diaria, y aplicar esta última en forma compuesta al costo de adquisición del título.</w:t>
      </w:r>
    </w:p>
    <w:p w:rsidR="00CF7AB7" w:rsidRPr="00D414FB" w:rsidRDefault="00CF7AB7" w:rsidP="00CF7AB7">
      <w:pPr>
        <w:tabs>
          <w:tab w:val="left" w:pos="-720"/>
          <w:tab w:val="left" w:pos="0"/>
          <w:tab w:val="left" w:pos="1080"/>
          <w:tab w:val="left" w:pos="1440"/>
        </w:tabs>
        <w:suppressAutoHyphens/>
        <w:spacing w:after="0" w:line="240" w:lineRule="auto"/>
        <w:ind w:left="544"/>
        <w:jc w:val="both"/>
        <w:rPr>
          <w:rFonts w:ascii="Arial" w:hAnsi="Arial" w:cs="Arial"/>
          <w:bCs/>
          <w:lang w:val="es-NI"/>
        </w:rPr>
      </w:pPr>
    </w:p>
    <w:p w:rsidR="00572867" w:rsidRPr="00D414FB" w:rsidRDefault="00572867" w:rsidP="00CF7AB7">
      <w:pPr>
        <w:tabs>
          <w:tab w:val="left" w:pos="-720"/>
          <w:tab w:val="left" w:pos="0"/>
          <w:tab w:val="left" w:pos="1080"/>
          <w:tab w:val="left" w:pos="1440"/>
        </w:tabs>
        <w:suppressAutoHyphens/>
        <w:spacing w:after="0" w:line="240" w:lineRule="auto"/>
        <w:ind w:left="544"/>
        <w:jc w:val="both"/>
        <w:rPr>
          <w:rFonts w:ascii="Arial" w:hAnsi="Arial" w:cs="Arial"/>
          <w:bCs/>
          <w:lang w:val="es-NI"/>
        </w:rPr>
      </w:pPr>
      <w:r w:rsidRPr="00D414FB">
        <w:rPr>
          <w:rFonts w:ascii="Arial" w:hAnsi="Arial" w:cs="Arial"/>
          <w:bCs/>
          <w:lang w:val="es-NI"/>
        </w:rPr>
        <w:t xml:space="preserve">La tasa de interés efectiva es la tasa de descuento que iguala exactamente los flujos de efectivo por cobrar estimados a lo largo de la vida esperada de la inversión en valores (o, cuando sea adecuado, en un período más corto) con el importe neto en libros de dicha inversión. </w:t>
      </w:r>
    </w:p>
    <w:p w:rsidR="00CF7AB7" w:rsidRPr="00D414FB" w:rsidRDefault="00CF7AB7" w:rsidP="00CF7AB7">
      <w:pPr>
        <w:tabs>
          <w:tab w:val="left" w:pos="-720"/>
          <w:tab w:val="left" w:pos="0"/>
          <w:tab w:val="left" w:pos="1080"/>
          <w:tab w:val="left" w:pos="1440"/>
        </w:tabs>
        <w:suppressAutoHyphens/>
        <w:spacing w:after="0" w:line="240" w:lineRule="auto"/>
        <w:ind w:left="544"/>
        <w:jc w:val="both"/>
        <w:rPr>
          <w:rFonts w:ascii="Arial" w:hAnsi="Arial" w:cs="Arial"/>
          <w:bCs/>
          <w:lang w:val="es-NI"/>
        </w:rPr>
      </w:pPr>
    </w:p>
    <w:p w:rsidR="00572867" w:rsidRPr="00D414FB" w:rsidRDefault="00572867" w:rsidP="008F0EF2">
      <w:pPr>
        <w:tabs>
          <w:tab w:val="left" w:pos="-720"/>
          <w:tab w:val="left" w:pos="0"/>
          <w:tab w:val="left" w:pos="1080"/>
          <w:tab w:val="left" w:pos="1440"/>
        </w:tabs>
        <w:suppressAutoHyphens/>
        <w:spacing w:after="0" w:line="240" w:lineRule="auto"/>
        <w:ind w:left="544"/>
        <w:jc w:val="both"/>
        <w:rPr>
          <w:rFonts w:ascii="Arial" w:hAnsi="Arial" w:cs="Arial"/>
          <w:bCs/>
          <w:lang w:val="es-NI"/>
        </w:rPr>
      </w:pPr>
      <w:r w:rsidRPr="00D414FB">
        <w:rPr>
          <w:rFonts w:ascii="Arial" w:hAnsi="Arial" w:cs="Arial"/>
          <w:bCs/>
          <w:lang w:val="es-NI"/>
        </w:rPr>
        <w:t xml:space="preserve">Para calcular la tasa de interés efectiva, una </w:t>
      </w:r>
      <w:r w:rsidR="009E3A95" w:rsidRPr="00D414FB">
        <w:rPr>
          <w:rFonts w:ascii="Arial" w:hAnsi="Arial" w:cs="Arial"/>
          <w:bCs/>
          <w:lang w:val="es-NI"/>
        </w:rPr>
        <w:t>institución</w:t>
      </w:r>
      <w:r w:rsidRPr="00D414FB">
        <w:rPr>
          <w:rFonts w:ascii="Arial" w:hAnsi="Arial" w:cs="Arial"/>
          <w:bCs/>
          <w:lang w:val="es-NI"/>
        </w:rPr>
        <w:t xml:space="preserve"> estimará los flujos de efectivo teniendo en cuenta todas las condiciones contractuales de la inversión en el título valor (por ejemplo, pagos anticipados, rescates y opciones de compra o similares), pero no tendrá en cuenta las pérdidas crediticias futuras. El cálculo debe incluir todas las comisiones y puntos de interés pagados o recibidos por las partes del contrato, que integren la tasa de interés efectiva, así como los costos de transacción y cualquier otra prima o descuento.</w:t>
      </w:r>
    </w:p>
    <w:p w:rsidR="008F0EF2" w:rsidRPr="00D414FB" w:rsidRDefault="008F0EF2" w:rsidP="008F0EF2">
      <w:pPr>
        <w:tabs>
          <w:tab w:val="left" w:pos="-720"/>
          <w:tab w:val="left" w:pos="0"/>
          <w:tab w:val="left" w:pos="1080"/>
          <w:tab w:val="left" w:pos="1440"/>
        </w:tabs>
        <w:suppressAutoHyphens/>
        <w:spacing w:after="0" w:line="240" w:lineRule="auto"/>
        <w:ind w:left="547"/>
        <w:jc w:val="both"/>
        <w:rPr>
          <w:rFonts w:ascii="Arial" w:hAnsi="Arial" w:cs="Arial"/>
          <w:b/>
          <w:lang w:val="es-NI"/>
        </w:rPr>
      </w:pPr>
    </w:p>
    <w:p w:rsidR="00572867" w:rsidRPr="00D414FB" w:rsidRDefault="00572867" w:rsidP="00B8392B">
      <w:pPr>
        <w:spacing w:after="0" w:line="240" w:lineRule="auto"/>
        <w:ind w:left="547"/>
        <w:jc w:val="both"/>
        <w:rPr>
          <w:rFonts w:ascii="Arial" w:hAnsi="Arial" w:cs="Arial"/>
          <w:b/>
          <w:bCs/>
          <w:lang w:val="es-NI"/>
        </w:rPr>
      </w:pPr>
      <w:r w:rsidRPr="00D414FB">
        <w:rPr>
          <w:rFonts w:ascii="Arial" w:hAnsi="Arial" w:cs="Arial"/>
          <w:b/>
          <w:bCs/>
          <w:lang w:val="es-NI"/>
        </w:rPr>
        <w:t>Costo amortizado</w:t>
      </w:r>
      <w:r w:rsidR="00043E51" w:rsidRPr="00D414FB">
        <w:rPr>
          <w:rFonts w:ascii="Arial" w:hAnsi="Arial" w:cs="Arial"/>
          <w:b/>
          <w:bCs/>
          <w:lang w:val="es-NI"/>
        </w:rPr>
        <w:t>:</w:t>
      </w:r>
      <w:r w:rsidR="00B8392B" w:rsidRPr="00D414FB">
        <w:rPr>
          <w:rFonts w:ascii="Arial" w:hAnsi="Arial" w:cs="Arial"/>
          <w:b/>
          <w:bCs/>
          <w:lang w:val="es-NI"/>
        </w:rPr>
        <w:t xml:space="preserve"> </w:t>
      </w:r>
      <w:r w:rsidRPr="00D414FB">
        <w:rPr>
          <w:rFonts w:ascii="Arial" w:hAnsi="Arial" w:cs="Arial"/>
          <w:bCs/>
          <w:lang w:val="es-NI"/>
        </w:rPr>
        <w:t>Representa el importe al que fue medido inicialmente el activo menos los reembolsos del principal más la amortización acumulada calculada con el método de la tasa de interés efectiv</w:t>
      </w:r>
      <w:r w:rsidR="00B8392B" w:rsidRPr="00D414FB">
        <w:rPr>
          <w:rFonts w:ascii="Arial" w:hAnsi="Arial" w:cs="Arial"/>
          <w:bCs/>
          <w:lang w:val="es-NI"/>
        </w:rPr>
        <w:t>a</w:t>
      </w:r>
      <w:r w:rsidRPr="00D414FB">
        <w:rPr>
          <w:rFonts w:ascii="Arial" w:hAnsi="Arial" w:cs="Arial"/>
          <w:bCs/>
          <w:lang w:val="es-NI"/>
        </w:rPr>
        <w:t xml:space="preserve"> de cualquier diferencia entre el importe inicial y el valor de reembolso en el vencimiento, y menos cualquier disminución por deterioro del valor o incobrabilidad, reconocida mediante el uso de una cuenta complementaria de activos.</w:t>
      </w:r>
    </w:p>
    <w:p w:rsidR="008F0EF2" w:rsidRPr="00D414FB" w:rsidRDefault="008F0EF2" w:rsidP="008F0EF2">
      <w:pPr>
        <w:tabs>
          <w:tab w:val="left" w:pos="-720"/>
          <w:tab w:val="left" w:pos="0"/>
          <w:tab w:val="left" w:pos="1080"/>
          <w:tab w:val="left" w:pos="1440"/>
        </w:tabs>
        <w:suppressAutoHyphens/>
        <w:spacing w:after="0" w:line="240" w:lineRule="auto"/>
        <w:ind w:left="547"/>
        <w:jc w:val="both"/>
        <w:rPr>
          <w:rFonts w:ascii="Arial" w:hAnsi="Arial" w:cs="Arial"/>
          <w:lang w:val="es-NI"/>
        </w:rPr>
      </w:pPr>
    </w:p>
    <w:p w:rsidR="00572867" w:rsidRPr="00D414FB" w:rsidRDefault="00B8392B" w:rsidP="00450616">
      <w:pPr>
        <w:spacing w:after="0" w:line="240" w:lineRule="auto"/>
        <w:ind w:left="547"/>
        <w:jc w:val="both"/>
        <w:rPr>
          <w:rFonts w:ascii="Arial" w:hAnsi="Arial" w:cs="Arial"/>
          <w:lang w:val="es-NI"/>
        </w:rPr>
      </w:pPr>
      <w:r w:rsidRPr="00D414FB">
        <w:rPr>
          <w:rFonts w:ascii="Arial" w:hAnsi="Arial" w:cs="Arial"/>
          <w:b/>
          <w:bCs/>
          <w:lang w:val="es-NI"/>
        </w:rPr>
        <w:t xml:space="preserve">Costos de </w:t>
      </w:r>
      <w:r w:rsidR="00572867" w:rsidRPr="00D414FB">
        <w:rPr>
          <w:rFonts w:ascii="Arial" w:hAnsi="Arial" w:cs="Arial"/>
          <w:b/>
          <w:bCs/>
          <w:lang w:val="es-NI"/>
        </w:rPr>
        <w:t>Transacción</w:t>
      </w:r>
      <w:r w:rsidR="00043E51" w:rsidRPr="00D414FB">
        <w:rPr>
          <w:rFonts w:ascii="Arial" w:hAnsi="Arial" w:cs="Arial"/>
          <w:b/>
          <w:bCs/>
          <w:lang w:val="es-NI"/>
        </w:rPr>
        <w:t>:</w:t>
      </w:r>
      <w:r w:rsidRPr="00D414FB">
        <w:rPr>
          <w:rFonts w:ascii="Arial" w:hAnsi="Arial" w:cs="Arial"/>
          <w:b/>
          <w:lang w:val="es-NI"/>
        </w:rPr>
        <w:t xml:space="preserve"> </w:t>
      </w:r>
      <w:r w:rsidR="00572867" w:rsidRPr="00D414FB">
        <w:rPr>
          <w:rFonts w:ascii="Arial" w:hAnsi="Arial" w:cs="Arial"/>
          <w:lang w:val="es-NI"/>
        </w:rPr>
        <w:t xml:space="preserve">Son los costos incrementales directamente atribuibles a la adquisición, emisión, venta o disposición por otra vía de un activo financiero. Un costo incremental es aquél en el que no se habría incurrido si la </w:t>
      </w:r>
      <w:r w:rsidR="009E3A95" w:rsidRPr="00D414FB">
        <w:rPr>
          <w:rFonts w:ascii="Arial" w:hAnsi="Arial" w:cs="Arial"/>
          <w:lang w:val="es-NI"/>
        </w:rPr>
        <w:t>institución</w:t>
      </w:r>
      <w:r w:rsidR="00572867" w:rsidRPr="00D414FB">
        <w:rPr>
          <w:rFonts w:ascii="Arial" w:hAnsi="Arial" w:cs="Arial"/>
          <w:lang w:val="es-NI"/>
        </w:rPr>
        <w:t xml:space="preserve"> no hubiese adquirido, emitido, vendido o dispuesto por otra vía el instrumento financiero.</w:t>
      </w:r>
    </w:p>
    <w:p w:rsidR="008F0EF2" w:rsidRPr="00D414FB" w:rsidRDefault="008F0EF2" w:rsidP="00450616">
      <w:pPr>
        <w:spacing w:after="0" w:line="240" w:lineRule="auto"/>
        <w:ind w:left="544"/>
        <w:jc w:val="both"/>
        <w:rPr>
          <w:rFonts w:ascii="Arial" w:hAnsi="Arial" w:cs="Arial"/>
          <w:b/>
          <w:lang w:val="es-NI"/>
        </w:rPr>
      </w:pPr>
    </w:p>
    <w:p w:rsidR="005306B3" w:rsidRPr="00D414FB" w:rsidRDefault="00572867" w:rsidP="00450616">
      <w:pPr>
        <w:spacing w:after="0" w:line="240" w:lineRule="auto"/>
        <w:ind w:left="544"/>
        <w:contextualSpacing/>
        <w:jc w:val="both"/>
        <w:rPr>
          <w:rFonts w:ascii="Arial" w:hAnsi="Arial" w:cs="Arial"/>
          <w:lang w:val="es-NI"/>
        </w:rPr>
      </w:pPr>
      <w:r w:rsidRPr="00D414FB">
        <w:rPr>
          <w:rFonts w:ascii="Arial" w:hAnsi="Arial" w:cs="Arial"/>
          <w:b/>
          <w:bCs/>
          <w:lang w:val="es-NI"/>
        </w:rPr>
        <w:t>Valor razonable</w:t>
      </w:r>
      <w:r w:rsidR="00043E51" w:rsidRPr="00D414FB">
        <w:rPr>
          <w:rFonts w:ascii="Arial" w:hAnsi="Arial" w:cs="Arial"/>
          <w:b/>
          <w:bCs/>
          <w:lang w:val="es-NI"/>
        </w:rPr>
        <w:t>:</w:t>
      </w:r>
      <w:r w:rsidR="00DC2129" w:rsidRPr="00D414FB">
        <w:rPr>
          <w:rFonts w:ascii="Arial" w:hAnsi="Arial" w:cs="Arial"/>
          <w:b/>
          <w:lang w:val="es-NI"/>
        </w:rPr>
        <w:t xml:space="preserve"> </w:t>
      </w:r>
      <w:r w:rsidR="00450616" w:rsidRPr="00D414FB">
        <w:rPr>
          <w:rFonts w:ascii="Arial" w:hAnsi="Arial" w:cs="Arial"/>
          <w:lang w:val="es-NI"/>
        </w:rPr>
        <w:t>Se define valor razonable como el precio que sería recibido por vender un activo en una transacción ordenada entre participantes del mercado en la fecha de la medición.</w:t>
      </w:r>
    </w:p>
    <w:p w:rsidR="008F0EF2" w:rsidRDefault="008F0EF2" w:rsidP="002C0194">
      <w:pPr>
        <w:spacing w:after="0" w:line="240" w:lineRule="auto"/>
        <w:ind w:left="544"/>
        <w:jc w:val="both"/>
        <w:rPr>
          <w:rFonts w:ascii="Arial" w:hAnsi="Arial" w:cs="Arial"/>
          <w:lang w:val="es-NI"/>
        </w:rPr>
      </w:pPr>
    </w:p>
    <w:p w:rsidR="00BF049D" w:rsidRPr="00991A5E" w:rsidRDefault="00BF049D" w:rsidP="00BF049D">
      <w:pPr>
        <w:spacing w:after="0" w:line="240" w:lineRule="auto"/>
        <w:ind w:left="544"/>
        <w:contextualSpacing/>
        <w:jc w:val="both"/>
        <w:rPr>
          <w:rFonts w:ascii="Arial" w:hAnsi="Arial" w:cs="Arial"/>
          <w:bCs/>
          <w:lang w:val="es-NI"/>
        </w:rPr>
      </w:pPr>
      <w:r w:rsidRPr="00991A5E">
        <w:rPr>
          <w:rFonts w:ascii="Arial" w:hAnsi="Arial" w:cs="Arial"/>
          <w:b/>
          <w:bCs/>
          <w:lang w:val="es-NI"/>
        </w:rPr>
        <w:lastRenderedPageBreak/>
        <w:t xml:space="preserve">Fondo de Inversión Cerrado: </w:t>
      </w:r>
      <w:r w:rsidRPr="00991A5E">
        <w:rPr>
          <w:rFonts w:ascii="Arial" w:hAnsi="Arial" w:cs="Arial"/>
          <w:bCs/>
          <w:lang w:val="es-NI"/>
        </w:rPr>
        <w:t>son aquellos cuyo patrimonio es fijo; las participaciones colocadas entre el público no son redimibles directamente por el fondo, salvo en las circunstancias y los procedimientos previstos en la Ley de Mercado de Capitales.</w:t>
      </w:r>
      <w:r w:rsidRPr="00991A5E">
        <w:rPr>
          <w:rFonts w:ascii="Arial" w:hAnsi="Arial" w:cs="Arial"/>
          <w:lang w:val="es-NI"/>
        </w:rPr>
        <w:tab/>
      </w:r>
    </w:p>
    <w:p w:rsidR="00BF049D" w:rsidRPr="00991A5E" w:rsidRDefault="00BF049D" w:rsidP="00BF049D">
      <w:pPr>
        <w:spacing w:after="0" w:line="240" w:lineRule="auto"/>
        <w:ind w:left="544"/>
        <w:jc w:val="both"/>
        <w:rPr>
          <w:rFonts w:ascii="Arial" w:hAnsi="Arial" w:cs="Arial"/>
          <w:lang w:val="es-NI"/>
        </w:rPr>
      </w:pPr>
    </w:p>
    <w:p w:rsidR="00BF049D" w:rsidRPr="00A82B67" w:rsidRDefault="00BF049D" w:rsidP="00BF049D">
      <w:pPr>
        <w:spacing w:after="0" w:line="240" w:lineRule="auto"/>
        <w:ind w:left="544"/>
        <w:contextualSpacing/>
        <w:jc w:val="both"/>
        <w:rPr>
          <w:rFonts w:ascii="Arial" w:hAnsi="Arial" w:cs="Arial"/>
          <w:bCs/>
          <w:lang w:val="es-NI"/>
        </w:rPr>
      </w:pPr>
      <w:r w:rsidRPr="00991A5E">
        <w:rPr>
          <w:rFonts w:ascii="Arial" w:hAnsi="Arial" w:cs="Arial"/>
          <w:b/>
          <w:bCs/>
          <w:lang w:val="es-NI"/>
        </w:rPr>
        <w:t xml:space="preserve">Fondo de Inversión Abierto: </w:t>
      </w:r>
      <w:r w:rsidRPr="00991A5E">
        <w:rPr>
          <w:rFonts w:ascii="Arial" w:hAnsi="Arial" w:cs="Arial"/>
          <w:bCs/>
          <w:lang w:val="es-NI"/>
        </w:rPr>
        <w:t>son aquellos cuyo patrimonio es variable e ilimitado; las participaciones colocadas entre el público son redimibles directamente por el fondo y su plazo de duración es indefinido. En estos casos, las participaciones no podrán ser objeto de operaciones distintas de las de reembolso.</w:t>
      </w:r>
    </w:p>
    <w:p w:rsidR="00A9440D" w:rsidRPr="00D414FB" w:rsidRDefault="00A9440D" w:rsidP="002C0194">
      <w:pPr>
        <w:spacing w:after="0" w:line="240" w:lineRule="auto"/>
        <w:ind w:left="544"/>
        <w:jc w:val="both"/>
        <w:rPr>
          <w:rFonts w:ascii="Arial" w:hAnsi="Arial" w:cs="Arial"/>
          <w:lang w:val="es-NI"/>
        </w:rPr>
      </w:pPr>
    </w:p>
    <w:p w:rsidR="006A4FD1" w:rsidRPr="001F188A" w:rsidRDefault="00B0681A" w:rsidP="008D7F1E">
      <w:pPr>
        <w:pStyle w:val="Subttulo"/>
        <w:numPr>
          <w:ilvl w:val="1"/>
          <w:numId w:val="10"/>
        </w:numPr>
        <w:tabs>
          <w:tab w:val="left" w:pos="1134"/>
        </w:tabs>
        <w:ind w:left="567" w:firstLine="0"/>
        <w:rPr>
          <w:rFonts w:ascii="Arial" w:eastAsia="Times New Roman" w:hAnsi="Arial" w:cs="Arial"/>
          <w:b/>
          <w:color w:val="auto"/>
          <w:spacing w:val="0"/>
          <w:lang w:val="es-MX" w:eastAsia="es-ES"/>
        </w:rPr>
      </w:pPr>
      <w:r w:rsidRPr="001F188A">
        <w:rPr>
          <w:rFonts w:ascii="Arial" w:eastAsia="Times New Roman" w:hAnsi="Arial" w:cs="Arial"/>
          <w:b/>
          <w:color w:val="auto"/>
          <w:spacing w:val="0"/>
          <w:lang w:val="es-MX" w:eastAsia="es-ES"/>
        </w:rPr>
        <w:t>CLASIFICACIONES DE LAS INVERSIONES EN INSTRUMENTOS FINANCIEROS</w:t>
      </w:r>
    </w:p>
    <w:p w:rsidR="00507C4F" w:rsidRDefault="00507C4F" w:rsidP="0054656E">
      <w:pPr>
        <w:spacing w:after="0" w:line="240" w:lineRule="auto"/>
        <w:ind w:left="567"/>
        <w:jc w:val="both"/>
        <w:rPr>
          <w:rFonts w:ascii="Arial" w:hAnsi="Arial" w:cs="Arial"/>
          <w:bCs/>
          <w:lang w:val="es-NI"/>
        </w:rPr>
      </w:pPr>
      <w:r w:rsidRPr="0054656E">
        <w:rPr>
          <w:rFonts w:ascii="Arial" w:hAnsi="Arial" w:cs="Arial"/>
          <w:bCs/>
          <w:lang w:val="es-NI"/>
        </w:rPr>
        <w:t>La clasificación de los instrumentos financieros: a costo amortizado, a valor razonable con cambios en otro resultado integral o a valor razonable con cambios en resultados se realizará tomando como base el modelo de negocio establecido en NIIF 9.</w:t>
      </w:r>
    </w:p>
    <w:p w:rsidR="0054656E" w:rsidRPr="0054656E" w:rsidRDefault="0054656E" w:rsidP="0054656E">
      <w:pPr>
        <w:spacing w:after="0" w:line="240" w:lineRule="auto"/>
        <w:ind w:left="567"/>
        <w:jc w:val="both"/>
        <w:rPr>
          <w:rFonts w:ascii="Arial" w:hAnsi="Arial" w:cs="Arial"/>
          <w:bCs/>
          <w:lang w:val="es-NI"/>
        </w:rPr>
      </w:pPr>
    </w:p>
    <w:p w:rsidR="00507C4F" w:rsidRDefault="00507C4F" w:rsidP="0054656E">
      <w:pPr>
        <w:spacing w:after="0" w:line="240" w:lineRule="auto"/>
        <w:ind w:left="567"/>
        <w:jc w:val="both"/>
        <w:rPr>
          <w:rFonts w:ascii="Arial" w:hAnsi="Arial" w:cs="Arial"/>
          <w:bCs/>
          <w:lang w:val="es-NI"/>
        </w:rPr>
      </w:pPr>
      <w:r w:rsidRPr="0054656E">
        <w:rPr>
          <w:rFonts w:ascii="Arial" w:hAnsi="Arial" w:cs="Arial"/>
          <w:bCs/>
          <w:lang w:val="es-NI"/>
        </w:rPr>
        <w:t xml:space="preserve">La clasificación y medición de las inversiones en instrumentos financieros del exterior será integralmente conforme a NIIF 9. </w:t>
      </w:r>
    </w:p>
    <w:p w:rsidR="0054656E" w:rsidRPr="0054656E" w:rsidRDefault="0054656E" w:rsidP="0054656E">
      <w:pPr>
        <w:spacing w:after="0" w:line="240" w:lineRule="auto"/>
        <w:ind w:left="567"/>
        <w:jc w:val="both"/>
        <w:rPr>
          <w:rFonts w:ascii="Arial" w:hAnsi="Arial" w:cs="Arial"/>
          <w:bCs/>
          <w:lang w:val="es-NI"/>
        </w:rPr>
      </w:pPr>
    </w:p>
    <w:p w:rsidR="00507C4F" w:rsidRPr="0054656E" w:rsidRDefault="00507C4F" w:rsidP="0054656E">
      <w:pPr>
        <w:pStyle w:val="Textosinformato"/>
        <w:ind w:left="567"/>
        <w:jc w:val="both"/>
        <w:rPr>
          <w:rFonts w:eastAsia="Calibri"/>
          <w:bCs/>
        </w:rPr>
      </w:pPr>
      <w:r w:rsidRPr="0054656E">
        <w:rPr>
          <w:rFonts w:eastAsia="Calibri"/>
          <w:bCs/>
        </w:rPr>
        <w:t>Para Inversiones en instrumentos financieros emitidos por el Gobierno Central de Nicaragua, Banco Central de Nicaragua e Inversiones en instrumentos financieros emitidos por instituciones financieras y empresas privadas del país su clasificación y medición únicamente será:</w:t>
      </w:r>
    </w:p>
    <w:p w:rsidR="00507C4F" w:rsidRPr="00122D0F" w:rsidRDefault="00507C4F" w:rsidP="00507C4F">
      <w:pPr>
        <w:pStyle w:val="Textosinformato"/>
        <w:ind w:left="709"/>
        <w:jc w:val="both"/>
      </w:pPr>
    </w:p>
    <w:p w:rsidR="00507C4F" w:rsidRPr="00122D0F" w:rsidRDefault="00507C4F" w:rsidP="00507C4F">
      <w:pPr>
        <w:pStyle w:val="Textosinformato"/>
        <w:numPr>
          <w:ilvl w:val="1"/>
          <w:numId w:val="1"/>
        </w:numPr>
        <w:ind w:left="1701"/>
        <w:jc w:val="both"/>
      </w:pPr>
      <w:r w:rsidRPr="00122D0F">
        <w:t xml:space="preserve">Al costo amortizado. </w:t>
      </w:r>
    </w:p>
    <w:p w:rsidR="00507C4F" w:rsidRPr="00122D0F" w:rsidRDefault="00507C4F" w:rsidP="00507C4F">
      <w:pPr>
        <w:pStyle w:val="Textosinformato"/>
        <w:ind w:left="1701"/>
        <w:jc w:val="both"/>
      </w:pPr>
    </w:p>
    <w:p w:rsidR="00507C4F" w:rsidRPr="00122D0F" w:rsidRDefault="00507C4F" w:rsidP="00507C4F">
      <w:pPr>
        <w:pStyle w:val="Textosinformato"/>
        <w:numPr>
          <w:ilvl w:val="1"/>
          <w:numId w:val="1"/>
        </w:numPr>
        <w:ind w:left="1701"/>
        <w:jc w:val="both"/>
      </w:pPr>
      <w:r w:rsidRPr="00122D0F">
        <w:t>A valor razonable con cambios en otro resultado integral.</w:t>
      </w:r>
    </w:p>
    <w:p w:rsidR="00456AF5" w:rsidRPr="00D414FB" w:rsidRDefault="00456AF5" w:rsidP="00940F96">
      <w:pPr>
        <w:tabs>
          <w:tab w:val="left" w:pos="-720"/>
          <w:tab w:val="left" w:pos="0"/>
          <w:tab w:val="left" w:pos="1080"/>
          <w:tab w:val="left" w:pos="1440"/>
        </w:tabs>
        <w:suppressAutoHyphens/>
        <w:spacing w:after="0" w:line="240" w:lineRule="auto"/>
        <w:ind w:left="547"/>
        <w:jc w:val="both"/>
        <w:rPr>
          <w:rFonts w:ascii="Arial" w:hAnsi="Arial" w:cs="Arial"/>
          <w:bCs/>
          <w:lang w:val="es-NI"/>
        </w:rPr>
      </w:pPr>
    </w:p>
    <w:p w:rsidR="005C5812" w:rsidRPr="00CC4A57" w:rsidRDefault="006A4FD1" w:rsidP="008D7F1E">
      <w:pPr>
        <w:pStyle w:val="Subttulo"/>
        <w:numPr>
          <w:ilvl w:val="2"/>
          <w:numId w:val="10"/>
        </w:numPr>
        <w:tabs>
          <w:tab w:val="left" w:pos="993"/>
        </w:tabs>
        <w:ind w:left="993" w:hanging="284"/>
        <w:rPr>
          <w:rFonts w:ascii="Arial" w:hAnsi="Arial" w:cs="Arial"/>
          <w:b/>
          <w:color w:val="auto"/>
          <w:lang w:val="es-NI"/>
        </w:rPr>
      </w:pPr>
      <w:r w:rsidRPr="00CC4A57">
        <w:rPr>
          <w:rFonts w:ascii="Arial" w:hAnsi="Arial" w:cs="Arial"/>
          <w:b/>
          <w:bCs/>
          <w:color w:val="auto"/>
          <w:lang w:val="es-NI"/>
        </w:rPr>
        <w:t>Inversiones al valor razonable con cambios en resultados</w:t>
      </w:r>
      <w:r w:rsidRPr="00CC4A57">
        <w:rPr>
          <w:rFonts w:ascii="Arial" w:hAnsi="Arial" w:cs="Arial"/>
          <w:b/>
          <w:color w:val="auto"/>
          <w:lang w:val="es-NI"/>
        </w:rPr>
        <w:t xml:space="preserve"> </w:t>
      </w:r>
    </w:p>
    <w:p w:rsidR="00BA3D1D" w:rsidRDefault="00C45B52" w:rsidP="008D7F1E">
      <w:pPr>
        <w:tabs>
          <w:tab w:val="left" w:pos="-720"/>
          <w:tab w:val="left" w:pos="0"/>
          <w:tab w:val="left" w:pos="1080"/>
          <w:tab w:val="left" w:pos="1440"/>
        </w:tabs>
        <w:suppressAutoHyphens/>
        <w:spacing w:after="0" w:line="240" w:lineRule="auto"/>
        <w:ind w:left="709"/>
        <w:jc w:val="both"/>
        <w:rPr>
          <w:rFonts w:ascii="Arial" w:hAnsi="Arial" w:cs="Arial"/>
          <w:bCs/>
          <w:lang w:val="es-NI"/>
        </w:rPr>
      </w:pPr>
      <w:r w:rsidRPr="00C45B52">
        <w:rPr>
          <w:rFonts w:ascii="Arial" w:hAnsi="Arial" w:cs="Arial"/>
          <w:bCs/>
          <w:lang w:val="es-NI"/>
        </w:rPr>
        <w:t>Un modelo de negocio que</w:t>
      </w:r>
      <w:r>
        <w:rPr>
          <w:rFonts w:ascii="Arial" w:hAnsi="Arial" w:cs="Arial"/>
          <w:bCs/>
          <w:lang w:val="es-NI"/>
        </w:rPr>
        <w:t xml:space="preserve"> </w:t>
      </w:r>
      <w:r w:rsidRPr="00C45B52">
        <w:rPr>
          <w:rFonts w:ascii="Arial" w:hAnsi="Arial" w:cs="Arial"/>
          <w:bCs/>
          <w:lang w:val="es-NI"/>
        </w:rPr>
        <w:t>dé lugar a mediciones a valor razonable con cambios en resultados es uno en el que una entidad gestiona los</w:t>
      </w:r>
      <w:r>
        <w:rPr>
          <w:rFonts w:ascii="Arial" w:hAnsi="Arial" w:cs="Arial"/>
          <w:bCs/>
          <w:lang w:val="es-NI"/>
        </w:rPr>
        <w:t xml:space="preserve"> </w:t>
      </w:r>
      <w:r w:rsidRPr="00C45B52">
        <w:rPr>
          <w:rFonts w:ascii="Arial" w:hAnsi="Arial" w:cs="Arial"/>
          <w:bCs/>
          <w:lang w:val="es-NI"/>
        </w:rPr>
        <w:t>activos financieros con el objetivo de cobrar flujos de efectivo a través de la venta de los activos. La entidad</w:t>
      </w:r>
      <w:r>
        <w:rPr>
          <w:rFonts w:ascii="Arial" w:hAnsi="Arial" w:cs="Arial"/>
          <w:bCs/>
          <w:lang w:val="es-NI"/>
        </w:rPr>
        <w:t xml:space="preserve"> </w:t>
      </w:r>
      <w:r w:rsidRPr="00C45B52">
        <w:rPr>
          <w:rFonts w:ascii="Arial" w:hAnsi="Arial" w:cs="Arial"/>
          <w:bCs/>
          <w:lang w:val="es-NI"/>
        </w:rPr>
        <w:t>toma decisiones basadas en los valores razonables de los activos y los gestiona para obtener esos valores</w:t>
      </w:r>
      <w:r>
        <w:rPr>
          <w:rFonts w:ascii="Arial" w:hAnsi="Arial" w:cs="Arial"/>
          <w:bCs/>
          <w:lang w:val="es-NI"/>
        </w:rPr>
        <w:t xml:space="preserve"> </w:t>
      </w:r>
      <w:r w:rsidRPr="00C45B52">
        <w:rPr>
          <w:rFonts w:ascii="Arial" w:hAnsi="Arial" w:cs="Arial"/>
          <w:bCs/>
          <w:lang w:val="es-NI"/>
        </w:rPr>
        <w:t>razonables. En este caso, el objetivo de la entidad habitualmente dará lugar a compras y ventas activas. Aun</w:t>
      </w:r>
      <w:r>
        <w:rPr>
          <w:rFonts w:ascii="Arial" w:hAnsi="Arial" w:cs="Arial"/>
          <w:bCs/>
          <w:lang w:val="es-NI"/>
        </w:rPr>
        <w:t xml:space="preserve"> </w:t>
      </w:r>
      <w:r w:rsidRPr="00C45B52">
        <w:rPr>
          <w:rFonts w:ascii="Arial" w:hAnsi="Arial" w:cs="Arial"/>
          <w:bCs/>
          <w:lang w:val="es-NI"/>
        </w:rPr>
        <w:t>cuando la entidad obtenga flujos de efectivo contractuales mientras mantiene los activos financieros, el</w:t>
      </w:r>
      <w:r>
        <w:rPr>
          <w:rFonts w:ascii="Arial" w:hAnsi="Arial" w:cs="Arial"/>
          <w:bCs/>
          <w:lang w:val="es-NI"/>
        </w:rPr>
        <w:t xml:space="preserve"> </w:t>
      </w:r>
      <w:r w:rsidRPr="00C45B52">
        <w:rPr>
          <w:rFonts w:ascii="Arial" w:hAnsi="Arial" w:cs="Arial"/>
          <w:bCs/>
          <w:lang w:val="es-NI"/>
        </w:rPr>
        <w:t>objetivo de este modelo de negocio no es lograrlo con la obtención de flujos de efectivo contractuales y la</w:t>
      </w:r>
      <w:r>
        <w:rPr>
          <w:rFonts w:ascii="Arial" w:hAnsi="Arial" w:cs="Arial"/>
          <w:bCs/>
          <w:lang w:val="es-NI"/>
        </w:rPr>
        <w:t xml:space="preserve"> </w:t>
      </w:r>
      <w:r w:rsidRPr="00C45B52">
        <w:rPr>
          <w:rFonts w:ascii="Arial" w:hAnsi="Arial" w:cs="Arial"/>
          <w:bCs/>
          <w:lang w:val="es-NI"/>
        </w:rPr>
        <w:t>venta de activos financieros. Esto es así, porque la obtención de flujos de efectivo contractuales no es</w:t>
      </w:r>
      <w:r>
        <w:rPr>
          <w:rFonts w:ascii="Arial" w:hAnsi="Arial" w:cs="Arial"/>
          <w:bCs/>
          <w:lang w:val="es-NI"/>
        </w:rPr>
        <w:t xml:space="preserve"> </w:t>
      </w:r>
      <w:r w:rsidRPr="00C45B52">
        <w:rPr>
          <w:rFonts w:ascii="Arial" w:hAnsi="Arial" w:cs="Arial"/>
          <w:bCs/>
          <w:lang w:val="es-NI"/>
        </w:rPr>
        <w:t>esencial para lograr el objetivo del modelo de negocio; sino que es secundaria.</w:t>
      </w:r>
      <w:r w:rsidR="00EC6535">
        <w:rPr>
          <w:rFonts w:ascii="Arial" w:hAnsi="Arial" w:cs="Arial"/>
          <w:bCs/>
          <w:lang w:val="es-NI"/>
        </w:rPr>
        <w:t xml:space="preserve"> </w:t>
      </w:r>
    </w:p>
    <w:p w:rsidR="00BA3D1D" w:rsidRDefault="00BA3D1D" w:rsidP="00C45B52">
      <w:pPr>
        <w:tabs>
          <w:tab w:val="left" w:pos="-720"/>
          <w:tab w:val="left" w:pos="0"/>
          <w:tab w:val="left" w:pos="1080"/>
          <w:tab w:val="left" w:pos="1440"/>
        </w:tabs>
        <w:suppressAutoHyphens/>
        <w:spacing w:after="0" w:line="240" w:lineRule="auto"/>
        <w:ind w:left="547"/>
        <w:jc w:val="both"/>
        <w:rPr>
          <w:rFonts w:ascii="Arial" w:hAnsi="Arial" w:cs="Arial"/>
          <w:bCs/>
          <w:lang w:val="es-NI"/>
        </w:rPr>
      </w:pPr>
    </w:p>
    <w:p w:rsidR="005C564D" w:rsidRDefault="008D7F1E" w:rsidP="008D7F1E">
      <w:pPr>
        <w:tabs>
          <w:tab w:val="left" w:pos="-720"/>
          <w:tab w:val="left" w:pos="0"/>
          <w:tab w:val="left" w:pos="709"/>
          <w:tab w:val="left" w:pos="1080"/>
          <w:tab w:val="left" w:pos="1440"/>
        </w:tabs>
        <w:suppressAutoHyphens/>
        <w:spacing w:after="0" w:line="240" w:lineRule="auto"/>
        <w:ind w:left="547"/>
        <w:jc w:val="both"/>
        <w:rPr>
          <w:rFonts w:ascii="Arial" w:hAnsi="Arial" w:cs="Arial"/>
          <w:bCs/>
          <w:lang w:val="es-NI"/>
        </w:rPr>
      </w:pPr>
      <w:r>
        <w:rPr>
          <w:rFonts w:ascii="Arial" w:hAnsi="Arial" w:cs="Arial"/>
          <w:bCs/>
          <w:lang w:val="es-NI"/>
        </w:rPr>
        <w:tab/>
      </w:r>
      <w:r w:rsidR="00EC6535">
        <w:rPr>
          <w:rFonts w:ascii="Arial" w:hAnsi="Arial" w:cs="Arial"/>
          <w:bCs/>
          <w:lang w:val="es-NI"/>
        </w:rPr>
        <w:t>En esta clasificación aplica todo lo requerido por NIIF 9.</w:t>
      </w:r>
    </w:p>
    <w:p w:rsidR="00C45B52" w:rsidRPr="00C45B52" w:rsidRDefault="00C45B52" w:rsidP="00C45B52">
      <w:pPr>
        <w:tabs>
          <w:tab w:val="left" w:pos="-720"/>
          <w:tab w:val="left" w:pos="0"/>
          <w:tab w:val="left" w:pos="1080"/>
          <w:tab w:val="left" w:pos="1440"/>
        </w:tabs>
        <w:suppressAutoHyphens/>
        <w:spacing w:after="0" w:line="240" w:lineRule="auto"/>
        <w:ind w:left="547"/>
        <w:jc w:val="both"/>
        <w:rPr>
          <w:rFonts w:ascii="Arial" w:hAnsi="Arial" w:cs="Arial"/>
          <w:bCs/>
          <w:lang w:val="es-NI"/>
        </w:rPr>
      </w:pPr>
    </w:p>
    <w:p w:rsidR="007A1E02" w:rsidRPr="00CC4A57" w:rsidRDefault="007A1E02" w:rsidP="008D7F1E">
      <w:pPr>
        <w:pStyle w:val="Subttulo"/>
        <w:numPr>
          <w:ilvl w:val="2"/>
          <w:numId w:val="10"/>
        </w:numPr>
        <w:tabs>
          <w:tab w:val="left" w:pos="993"/>
          <w:tab w:val="left" w:pos="1134"/>
        </w:tabs>
        <w:ind w:left="993" w:hanging="284"/>
        <w:rPr>
          <w:rFonts w:ascii="Arial" w:hAnsi="Arial" w:cs="Arial"/>
          <w:b/>
          <w:bCs/>
          <w:color w:val="auto"/>
          <w:lang w:val="es-NI"/>
        </w:rPr>
      </w:pPr>
      <w:r w:rsidRPr="00CC4A57">
        <w:rPr>
          <w:rFonts w:ascii="Arial" w:hAnsi="Arial" w:cs="Arial"/>
          <w:b/>
          <w:bCs/>
          <w:color w:val="auto"/>
          <w:lang w:val="es-NI"/>
        </w:rPr>
        <w:t>Inversiones a valor razonable con cambios en otro resultado</w:t>
      </w:r>
      <w:r w:rsidR="00CC4A57">
        <w:rPr>
          <w:rFonts w:ascii="Arial" w:hAnsi="Arial" w:cs="Arial"/>
          <w:b/>
          <w:bCs/>
          <w:color w:val="auto"/>
          <w:lang w:val="es-NI"/>
        </w:rPr>
        <w:t xml:space="preserve"> </w:t>
      </w:r>
      <w:r w:rsidRPr="00CC4A57">
        <w:rPr>
          <w:rFonts w:ascii="Arial" w:hAnsi="Arial" w:cs="Arial"/>
          <w:b/>
          <w:bCs/>
          <w:color w:val="auto"/>
          <w:lang w:val="es-NI"/>
        </w:rPr>
        <w:t>integral</w:t>
      </w:r>
    </w:p>
    <w:p w:rsidR="00CE414D" w:rsidRPr="00D414FB" w:rsidRDefault="00CE414D" w:rsidP="00FA714A">
      <w:pPr>
        <w:tabs>
          <w:tab w:val="left" w:pos="-720"/>
          <w:tab w:val="left" w:pos="0"/>
          <w:tab w:val="left" w:pos="1080"/>
          <w:tab w:val="left" w:pos="1440"/>
        </w:tabs>
        <w:suppressAutoHyphens/>
        <w:spacing w:line="240" w:lineRule="atLeast"/>
        <w:ind w:left="709"/>
        <w:jc w:val="both"/>
        <w:rPr>
          <w:rFonts w:ascii="Arial" w:hAnsi="Arial" w:cs="Arial"/>
          <w:bCs/>
          <w:lang w:val="es-NI"/>
        </w:rPr>
      </w:pPr>
      <w:r w:rsidRPr="00D414FB">
        <w:rPr>
          <w:rFonts w:ascii="Arial" w:hAnsi="Arial" w:cs="Arial"/>
          <w:bCs/>
          <w:lang w:val="es-NI"/>
        </w:rPr>
        <w:t xml:space="preserve">Son activos financieros no derivados que se designan específicamente </w:t>
      </w:r>
      <w:r w:rsidR="009C5FF1" w:rsidRPr="00D414FB">
        <w:rPr>
          <w:rFonts w:ascii="Arial" w:hAnsi="Arial" w:cs="Arial"/>
          <w:bCs/>
          <w:lang w:val="es-NI"/>
        </w:rPr>
        <w:t xml:space="preserve">a valor razonable con cambios en otro resultado </w:t>
      </w:r>
      <w:r w:rsidR="00B8392B" w:rsidRPr="00D414FB">
        <w:rPr>
          <w:rFonts w:ascii="Arial" w:hAnsi="Arial" w:cs="Arial"/>
          <w:bCs/>
          <w:lang w:val="es-NI"/>
        </w:rPr>
        <w:t>integral</w:t>
      </w:r>
      <w:r w:rsidR="009C5FF1" w:rsidRPr="00D414FB">
        <w:rPr>
          <w:rFonts w:ascii="Arial" w:hAnsi="Arial" w:cs="Arial"/>
          <w:bCs/>
          <w:lang w:val="es-NI"/>
        </w:rPr>
        <w:t xml:space="preserve"> </w:t>
      </w:r>
      <w:r w:rsidRPr="00A229B2">
        <w:rPr>
          <w:rFonts w:ascii="Arial" w:hAnsi="Arial" w:cs="Arial"/>
          <w:bCs/>
          <w:lang w:val="es-NI"/>
        </w:rPr>
        <w:t xml:space="preserve">o </w:t>
      </w:r>
      <w:r w:rsidR="00A229B2">
        <w:rPr>
          <w:rFonts w:ascii="Arial" w:hAnsi="Arial" w:cs="Arial"/>
          <w:bCs/>
          <w:lang w:val="es-NI"/>
        </w:rPr>
        <w:t xml:space="preserve">los </w:t>
      </w:r>
      <w:r w:rsidRPr="00A229B2">
        <w:rPr>
          <w:rFonts w:ascii="Arial" w:hAnsi="Arial" w:cs="Arial"/>
          <w:bCs/>
          <w:lang w:val="es-NI"/>
        </w:rPr>
        <w:t>que no son clasificados</w:t>
      </w:r>
      <w:r w:rsidRPr="00D414FB">
        <w:rPr>
          <w:rFonts w:ascii="Arial" w:hAnsi="Arial" w:cs="Arial"/>
          <w:bCs/>
          <w:lang w:val="es-NI"/>
        </w:rPr>
        <w:t xml:space="preserve"> como inversiones al costo amortizado, o activos financieros al valor razonable con cambios en resultados.</w:t>
      </w:r>
    </w:p>
    <w:p w:rsidR="008B2CA1" w:rsidRPr="00CC4A57" w:rsidRDefault="008B2CA1" w:rsidP="008D7F1E">
      <w:pPr>
        <w:pStyle w:val="Subttulo"/>
        <w:numPr>
          <w:ilvl w:val="2"/>
          <w:numId w:val="10"/>
        </w:numPr>
        <w:tabs>
          <w:tab w:val="left" w:pos="993"/>
          <w:tab w:val="left" w:pos="1134"/>
        </w:tabs>
        <w:ind w:left="1701" w:hanging="992"/>
        <w:rPr>
          <w:rFonts w:ascii="Arial" w:hAnsi="Arial" w:cs="Arial"/>
          <w:b/>
          <w:bCs/>
          <w:color w:val="auto"/>
          <w:lang w:val="es-NI"/>
        </w:rPr>
      </w:pPr>
      <w:r w:rsidRPr="00CC4A57">
        <w:rPr>
          <w:rFonts w:ascii="Arial" w:hAnsi="Arial" w:cs="Arial"/>
          <w:b/>
          <w:bCs/>
          <w:color w:val="auto"/>
          <w:lang w:val="es-NI"/>
        </w:rPr>
        <w:t>Inversiones a costo amortizado</w:t>
      </w:r>
    </w:p>
    <w:p w:rsidR="00ED6E1E" w:rsidRPr="00D414FB" w:rsidRDefault="00ED6E1E" w:rsidP="008D7F1E">
      <w:pPr>
        <w:spacing w:after="0" w:line="240" w:lineRule="auto"/>
        <w:ind w:firstLine="709"/>
        <w:jc w:val="both"/>
        <w:rPr>
          <w:rFonts w:ascii="Arial" w:hAnsi="Arial" w:cs="Arial"/>
          <w:color w:val="000000" w:themeColor="text1"/>
          <w:lang w:val="es-NI"/>
        </w:rPr>
      </w:pPr>
      <w:r w:rsidRPr="00D414FB">
        <w:rPr>
          <w:rFonts w:ascii="Arial" w:hAnsi="Arial" w:cs="Arial"/>
          <w:color w:val="000000" w:themeColor="text1"/>
          <w:lang w:val="es-NI"/>
        </w:rPr>
        <w:lastRenderedPageBreak/>
        <w:t>Corresponde a los activos financieros que cumplen con las siguientes condiciones:</w:t>
      </w:r>
    </w:p>
    <w:p w:rsidR="009D27BE" w:rsidRPr="00D414FB" w:rsidRDefault="009D27BE" w:rsidP="009D27BE">
      <w:pPr>
        <w:spacing w:after="0" w:line="240" w:lineRule="auto"/>
        <w:ind w:left="360" w:firstLine="187"/>
        <w:jc w:val="both"/>
        <w:rPr>
          <w:rFonts w:ascii="Arial" w:hAnsi="Arial" w:cs="Arial"/>
          <w:color w:val="000000" w:themeColor="text1"/>
          <w:lang w:val="es-NI"/>
        </w:rPr>
      </w:pPr>
    </w:p>
    <w:p w:rsidR="00ED6E1E" w:rsidRPr="00D414FB" w:rsidRDefault="00ED6E1E" w:rsidP="008D7F1E">
      <w:pPr>
        <w:pStyle w:val="Prrafodelista"/>
        <w:numPr>
          <w:ilvl w:val="0"/>
          <w:numId w:val="12"/>
        </w:numPr>
        <w:ind w:left="1276" w:hanging="218"/>
        <w:contextualSpacing/>
        <w:jc w:val="both"/>
        <w:rPr>
          <w:rFonts w:ascii="Arial" w:hAnsi="Arial" w:cs="Arial"/>
          <w:bCs/>
          <w:color w:val="000000" w:themeColor="text1"/>
          <w:sz w:val="22"/>
          <w:szCs w:val="22"/>
          <w:lang w:val="es-NI"/>
        </w:rPr>
      </w:pPr>
      <w:r w:rsidRPr="00D414FB">
        <w:rPr>
          <w:rFonts w:ascii="Arial" w:hAnsi="Arial" w:cs="Arial"/>
          <w:bCs/>
          <w:color w:val="000000" w:themeColor="text1"/>
          <w:sz w:val="22"/>
          <w:szCs w:val="22"/>
          <w:lang w:val="es-NI"/>
        </w:rPr>
        <w:t>El activo financiero se mantiene para obtener los flujos contractuales, y</w:t>
      </w:r>
    </w:p>
    <w:p w:rsidR="00B8392B" w:rsidRPr="00D414FB" w:rsidRDefault="00B8392B" w:rsidP="00B8392B">
      <w:pPr>
        <w:pStyle w:val="Prrafodelista"/>
        <w:ind w:left="1080"/>
        <w:contextualSpacing/>
        <w:jc w:val="both"/>
        <w:rPr>
          <w:rFonts w:ascii="Arial" w:hAnsi="Arial" w:cs="Arial"/>
          <w:bCs/>
          <w:color w:val="000000" w:themeColor="text1"/>
          <w:sz w:val="22"/>
          <w:szCs w:val="22"/>
          <w:lang w:val="es-NI"/>
        </w:rPr>
      </w:pPr>
    </w:p>
    <w:p w:rsidR="00ED6E1E" w:rsidRPr="009D6486" w:rsidRDefault="00ED6E1E" w:rsidP="008D7F1E">
      <w:pPr>
        <w:pStyle w:val="Prrafodelista"/>
        <w:numPr>
          <w:ilvl w:val="0"/>
          <w:numId w:val="12"/>
        </w:numPr>
        <w:ind w:left="1276" w:hanging="218"/>
        <w:contextualSpacing/>
        <w:jc w:val="both"/>
        <w:rPr>
          <w:rFonts w:ascii="Arial" w:hAnsi="Arial" w:cs="Arial"/>
          <w:bCs/>
          <w:color w:val="000000" w:themeColor="text1"/>
          <w:sz w:val="22"/>
          <w:szCs w:val="22"/>
          <w:lang w:val="es-NI"/>
        </w:rPr>
      </w:pPr>
      <w:r w:rsidRPr="00D414FB">
        <w:rPr>
          <w:rFonts w:ascii="Arial" w:hAnsi="Arial" w:cs="Arial"/>
          <w:color w:val="000000" w:themeColor="text1"/>
          <w:sz w:val="22"/>
          <w:szCs w:val="22"/>
          <w:lang w:val="es-NI"/>
        </w:rPr>
        <w:t>Las condiciones contractuales del activo financiero dan lugar, en fechas especificadas, a flujos de efectivo que son únicamente pagos de principal e intereses.</w:t>
      </w:r>
    </w:p>
    <w:p w:rsidR="009D6486" w:rsidRPr="009D6486" w:rsidRDefault="009D6486" w:rsidP="009D6486">
      <w:pPr>
        <w:pStyle w:val="Prrafodelista"/>
        <w:rPr>
          <w:rFonts w:ascii="Arial" w:hAnsi="Arial" w:cs="Arial"/>
          <w:bCs/>
          <w:color w:val="000000" w:themeColor="text1"/>
          <w:sz w:val="22"/>
          <w:szCs w:val="22"/>
          <w:lang w:val="es-NI"/>
        </w:rPr>
      </w:pPr>
    </w:p>
    <w:p w:rsidR="00846385" w:rsidRPr="00EF42F5" w:rsidRDefault="00100143" w:rsidP="008D7F1E">
      <w:pPr>
        <w:pStyle w:val="Subttulo"/>
        <w:numPr>
          <w:ilvl w:val="1"/>
          <w:numId w:val="10"/>
        </w:numPr>
        <w:tabs>
          <w:tab w:val="left" w:pos="1134"/>
        </w:tabs>
        <w:ind w:left="567" w:firstLine="0"/>
        <w:rPr>
          <w:rFonts w:ascii="Arial" w:eastAsia="Times New Roman" w:hAnsi="Arial" w:cs="Arial"/>
          <w:b/>
          <w:color w:val="auto"/>
          <w:spacing w:val="0"/>
          <w:lang w:val="es-MX" w:eastAsia="es-ES"/>
        </w:rPr>
      </w:pPr>
      <w:r w:rsidRPr="00EF42F5">
        <w:rPr>
          <w:rFonts w:ascii="Arial" w:eastAsia="Times New Roman" w:hAnsi="Arial" w:cs="Arial"/>
          <w:b/>
          <w:color w:val="auto"/>
          <w:spacing w:val="0"/>
          <w:lang w:val="es-MX" w:eastAsia="es-ES"/>
        </w:rPr>
        <w:t>REGLA</w:t>
      </w:r>
      <w:r w:rsidR="000B465C" w:rsidRPr="00EF42F5">
        <w:rPr>
          <w:rFonts w:ascii="Arial" w:eastAsia="Times New Roman" w:hAnsi="Arial" w:cs="Arial"/>
          <w:b/>
          <w:color w:val="auto"/>
          <w:spacing w:val="0"/>
          <w:lang w:val="es-MX" w:eastAsia="es-ES"/>
        </w:rPr>
        <w:t>S</w:t>
      </w:r>
      <w:r w:rsidRPr="00EF42F5">
        <w:rPr>
          <w:rFonts w:ascii="Arial" w:eastAsia="Times New Roman" w:hAnsi="Arial" w:cs="Arial"/>
          <w:b/>
          <w:color w:val="auto"/>
          <w:spacing w:val="0"/>
          <w:lang w:val="es-MX" w:eastAsia="es-ES"/>
        </w:rPr>
        <w:t xml:space="preserve"> DE CLASIFICACIÓN</w:t>
      </w:r>
    </w:p>
    <w:p w:rsidR="00507C4F" w:rsidRPr="00122D0F" w:rsidRDefault="00507C4F" w:rsidP="00507C4F">
      <w:pPr>
        <w:pStyle w:val="Textosinformato"/>
        <w:ind w:left="567"/>
        <w:jc w:val="both"/>
      </w:pPr>
      <w:r w:rsidRPr="00122D0F">
        <w:t>Párrafo incluido en el literal B.</w:t>
      </w:r>
    </w:p>
    <w:p w:rsidR="00846385" w:rsidRPr="00D414FB" w:rsidRDefault="00846385" w:rsidP="00846385">
      <w:pPr>
        <w:pStyle w:val="Sangradetextonormal"/>
        <w:spacing w:after="0"/>
        <w:ind w:left="547"/>
        <w:jc w:val="both"/>
        <w:rPr>
          <w:rFonts w:ascii="Arial" w:hAnsi="Arial" w:cs="Arial"/>
          <w:sz w:val="22"/>
          <w:szCs w:val="22"/>
          <w:lang w:val="es-NI"/>
        </w:rPr>
      </w:pPr>
    </w:p>
    <w:p w:rsidR="006A4FD1" w:rsidRPr="00EF42F5" w:rsidRDefault="00920E61" w:rsidP="008D7F1E">
      <w:pPr>
        <w:pStyle w:val="Subttulo"/>
        <w:numPr>
          <w:ilvl w:val="1"/>
          <w:numId w:val="10"/>
        </w:numPr>
        <w:tabs>
          <w:tab w:val="left" w:pos="1134"/>
        </w:tabs>
        <w:ind w:left="567" w:firstLine="0"/>
        <w:rPr>
          <w:rFonts w:ascii="Arial" w:eastAsia="Times New Roman" w:hAnsi="Arial" w:cs="Arial"/>
          <w:b/>
          <w:color w:val="auto"/>
          <w:spacing w:val="0"/>
          <w:lang w:val="es-MX" w:eastAsia="es-ES"/>
        </w:rPr>
      </w:pPr>
      <w:r w:rsidRPr="00EF42F5">
        <w:rPr>
          <w:rFonts w:ascii="Arial" w:eastAsia="Times New Roman" w:hAnsi="Arial" w:cs="Arial"/>
          <w:b/>
          <w:color w:val="auto"/>
          <w:spacing w:val="0"/>
          <w:lang w:val="es-MX" w:eastAsia="es-ES"/>
        </w:rPr>
        <w:t>RECONOCIMIENTO</w:t>
      </w:r>
      <w:r w:rsidR="00311DB0" w:rsidRPr="00EF42F5">
        <w:rPr>
          <w:rFonts w:ascii="Arial" w:eastAsia="Times New Roman" w:hAnsi="Arial" w:cs="Arial"/>
          <w:b/>
          <w:color w:val="auto"/>
          <w:spacing w:val="0"/>
          <w:lang w:val="es-MX" w:eastAsia="es-ES"/>
        </w:rPr>
        <w:t xml:space="preserve"> Y MEDICIÓN</w:t>
      </w:r>
      <w:r w:rsidRPr="00EF42F5">
        <w:rPr>
          <w:rFonts w:ascii="Arial" w:eastAsia="Times New Roman" w:hAnsi="Arial" w:cs="Arial"/>
          <w:b/>
          <w:color w:val="auto"/>
          <w:spacing w:val="0"/>
          <w:lang w:val="es-MX" w:eastAsia="es-ES"/>
        </w:rPr>
        <w:t xml:space="preserve"> INICIAL</w:t>
      </w:r>
    </w:p>
    <w:p w:rsidR="006A4FD1" w:rsidRPr="00D414FB" w:rsidRDefault="006A4FD1" w:rsidP="006A4FD1">
      <w:pPr>
        <w:tabs>
          <w:tab w:val="left" w:pos="-720"/>
          <w:tab w:val="left" w:pos="0"/>
          <w:tab w:val="left" w:pos="1080"/>
          <w:tab w:val="left" w:pos="1440"/>
        </w:tabs>
        <w:suppressAutoHyphens/>
        <w:spacing w:line="240" w:lineRule="atLeast"/>
        <w:ind w:left="547"/>
        <w:jc w:val="both"/>
        <w:rPr>
          <w:rFonts w:ascii="Arial" w:hAnsi="Arial" w:cs="Arial"/>
          <w:bCs/>
          <w:lang w:val="es-NI"/>
        </w:rPr>
      </w:pPr>
      <w:r w:rsidRPr="00D414FB">
        <w:rPr>
          <w:rFonts w:ascii="Arial" w:hAnsi="Arial" w:cs="Arial"/>
          <w:bCs/>
          <w:lang w:val="es-NI"/>
        </w:rPr>
        <w:t xml:space="preserve">Para cualquiera de las tres </w:t>
      </w:r>
      <w:r w:rsidR="001A1F20" w:rsidRPr="00D414FB">
        <w:rPr>
          <w:rFonts w:ascii="Arial" w:hAnsi="Arial" w:cs="Arial"/>
          <w:bCs/>
          <w:lang w:val="es-NI"/>
        </w:rPr>
        <w:t>clasificaciones de inversiones</w:t>
      </w:r>
      <w:r w:rsidRPr="00D414FB">
        <w:rPr>
          <w:rFonts w:ascii="Arial" w:hAnsi="Arial" w:cs="Arial"/>
          <w:bCs/>
          <w:lang w:val="es-NI"/>
        </w:rPr>
        <w:t xml:space="preserve">, la </w:t>
      </w:r>
      <w:r w:rsidR="001A1F20" w:rsidRPr="00D414FB">
        <w:rPr>
          <w:rFonts w:ascii="Arial" w:hAnsi="Arial" w:cs="Arial"/>
          <w:bCs/>
          <w:lang w:val="es-NI"/>
        </w:rPr>
        <w:t xml:space="preserve">institución </w:t>
      </w:r>
      <w:r w:rsidRPr="00D414FB">
        <w:rPr>
          <w:rFonts w:ascii="Arial" w:hAnsi="Arial" w:cs="Arial"/>
          <w:bCs/>
          <w:lang w:val="es-NI"/>
        </w:rPr>
        <w:t>debe reconocer contablemente las inversiones en valores por su costo</w:t>
      </w:r>
      <w:r w:rsidR="00B550B5" w:rsidRPr="00D414FB">
        <w:rPr>
          <w:rFonts w:ascii="Arial" w:hAnsi="Arial" w:cs="Arial"/>
          <w:bCs/>
          <w:lang w:val="es-NI"/>
        </w:rPr>
        <w:t>,</w:t>
      </w:r>
      <w:r w:rsidRPr="00D414FB">
        <w:rPr>
          <w:rFonts w:ascii="Arial" w:hAnsi="Arial" w:cs="Arial"/>
          <w:bCs/>
          <w:lang w:val="es-NI"/>
        </w:rPr>
        <w:t xml:space="preserve"> que será el valor razonable de la contraprestación entregada a cambio </w:t>
      </w:r>
      <w:r w:rsidR="00B550B5" w:rsidRPr="00D414FB">
        <w:rPr>
          <w:rFonts w:ascii="Arial" w:hAnsi="Arial" w:cs="Arial"/>
          <w:bCs/>
          <w:lang w:val="es-NI"/>
        </w:rPr>
        <w:t>de</w:t>
      </w:r>
      <w:r w:rsidRPr="00D414FB">
        <w:rPr>
          <w:rFonts w:ascii="Arial" w:hAnsi="Arial" w:cs="Arial"/>
          <w:bCs/>
          <w:lang w:val="es-NI"/>
        </w:rPr>
        <w:t xml:space="preserve"> adquirir ese activo más</w:t>
      </w:r>
      <w:r w:rsidR="00B550B5" w:rsidRPr="00D414FB">
        <w:rPr>
          <w:rFonts w:ascii="Arial" w:hAnsi="Arial" w:cs="Arial"/>
          <w:bCs/>
          <w:lang w:val="es-NI"/>
        </w:rPr>
        <w:t xml:space="preserve"> (</w:t>
      </w:r>
      <w:r w:rsidRPr="00D414FB">
        <w:rPr>
          <w:rFonts w:ascii="Arial" w:hAnsi="Arial" w:cs="Arial"/>
          <w:bCs/>
          <w:lang w:val="es-NI"/>
        </w:rPr>
        <w:t xml:space="preserve">en el caso de un </w:t>
      </w:r>
      <w:r w:rsidR="00B550B5" w:rsidRPr="00D414FB">
        <w:rPr>
          <w:rFonts w:ascii="Arial" w:hAnsi="Arial" w:cs="Arial"/>
          <w:bCs/>
          <w:lang w:val="es-NI"/>
        </w:rPr>
        <w:t xml:space="preserve">instrumento </w:t>
      </w:r>
      <w:r w:rsidRPr="00D414FB">
        <w:rPr>
          <w:rFonts w:ascii="Arial" w:hAnsi="Arial" w:cs="Arial"/>
          <w:bCs/>
          <w:lang w:val="es-NI"/>
        </w:rPr>
        <w:t>que no se contabi</w:t>
      </w:r>
      <w:r w:rsidR="00920E61" w:rsidRPr="00D414FB">
        <w:rPr>
          <w:rFonts w:ascii="Arial" w:hAnsi="Arial" w:cs="Arial"/>
          <w:bCs/>
          <w:lang w:val="es-NI"/>
        </w:rPr>
        <w:t>lice en la c</w:t>
      </w:r>
      <w:r w:rsidR="00B550B5" w:rsidRPr="00D414FB">
        <w:rPr>
          <w:rFonts w:ascii="Arial" w:hAnsi="Arial" w:cs="Arial"/>
          <w:bCs/>
          <w:lang w:val="es-NI"/>
        </w:rPr>
        <w:t xml:space="preserve">lasificación </w:t>
      </w:r>
      <w:r w:rsidR="00920E61" w:rsidRPr="00D414FB">
        <w:rPr>
          <w:rFonts w:ascii="Arial" w:hAnsi="Arial" w:cs="Arial"/>
          <w:bCs/>
          <w:lang w:val="es-NI"/>
        </w:rPr>
        <w:t>a</w:t>
      </w:r>
      <w:r w:rsidRPr="00D414FB">
        <w:rPr>
          <w:rFonts w:ascii="Arial" w:hAnsi="Arial" w:cs="Arial"/>
          <w:bCs/>
          <w:lang w:val="es-NI"/>
        </w:rPr>
        <w:t xml:space="preserve"> valor razonable con cambios en resultados</w:t>
      </w:r>
      <w:r w:rsidR="00B550B5" w:rsidRPr="00D414FB">
        <w:rPr>
          <w:rFonts w:ascii="Arial" w:hAnsi="Arial" w:cs="Arial"/>
          <w:bCs/>
          <w:lang w:val="es-NI"/>
        </w:rPr>
        <w:t>)</w:t>
      </w:r>
      <w:r w:rsidRPr="00D414FB">
        <w:rPr>
          <w:rFonts w:ascii="Arial" w:hAnsi="Arial" w:cs="Arial"/>
          <w:bCs/>
          <w:lang w:val="es-NI"/>
        </w:rPr>
        <w:t xml:space="preserve"> los costos de transacción que sean directamente atribuibles a la compra del mismo; entre los que podemos mencionar: las comisiones y honorarios pagados a los agentes, consejero, intermediarios y distribuidores, entre otros.</w:t>
      </w:r>
    </w:p>
    <w:p w:rsidR="006A4FD1" w:rsidRPr="00D414FB" w:rsidRDefault="006A4FD1" w:rsidP="006A4FD1">
      <w:pPr>
        <w:tabs>
          <w:tab w:val="left" w:pos="-720"/>
          <w:tab w:val="left" w:pos="0"/>
          <w:tab w:val="left" w:pos="1080"/>
          <w:tab w:val="left" w:pos="1440"/>
        </w:tabs>
        <w:suppressAutoHyphens/>
        <w:spacing w:line="240" w:lineRule="atLeast"/>
        <w:ind w:left="547"/>
        <w:jc w:val="both"/>
        <w:rPr>
          <w:rFonts w:ascii="Arial" w:hAnsi="Arial" w:cs="Arial"/>
          <w:bCs/>
          <w:lang w:val="es-NI"/>
        </w:rPr>
      </w:pPr>
      <w:r w:rsidRPr="00D414FB">
        <w:rPr>
          <w:rFonts w:ascii="Arial" w:hAnsi="Arial" w:cs="Arial"/>
          <w:bCs/>
          <w:lang w:val="es-NI"/>
        </w:rPr>
        <w:t xml:space="preserve">Este reconocimiento se hará utilizando la fecha de liquidación de la inversión que es la fecha en que un activo se entrega a la </w:t>
      </w:r>
      <w:r w:rsidR="009E3A95" w:rsidRPr="00D414FB">
        <w:rPr>
          <w:rFonts w:ascii="Arial" w:hAnsi="Arial" w:cs="Arial"/>
          <w:bCs/>
          <w:lang w:val="es-NI"/>
        </w:rPr>
        <w:t>institución</w:t>
      </w:r>
      <w:r w:rsidRPr="00D414FB">
        <w:rPr>
          <w:rFonts w:ascii="Arial" w:hAnsi="Arial" w:cs="Arial"/>
          <w:bCs/>
          <w:lang w:val="es-NI"/>
        </w:rPr>
        <w:t>.</w:t>
      </w:r>
    </w:p>
    <w:p w:rsidR="00D414FB" w:rsidRPr="00D414FB" w:rsidRDefault="006A4FD1" w:rsidP="008E5440">
      <w:pPr>
        <w:tabs>
          <w:tab w:val="left" w:pos="-720"/>
          <w:tab w:val="left" w:pos="0"/>
          <w:tab w:val="left" w:pos="1080"/>
          <w:tab w:val="left" w:pos="1440"/>
        </w:tabs>
        <w:suppressAutoHyphens/>
        <w:spacing w:after="0" w:line="240" w:lineRule="auto"/>
        <w:ind w:left="547"/>
        <w:jc w:val="both"/>
        <w:rPr>
          <w:rFonts w:ascii="Arial" w:hAnsi="Arial" w:cs="Arial"/>
          <w:bCs/>
          <w:lang w:val="es-NI"/>
        </w:rPr>
      </w:pPr>
      <w:r w:rsidRPr="00D414FB">
        <w:rPr>
          <w:rFonts w:ascii="Arial" w:hAnsi="Arial" w:cs="Arial"/>
          <w:bCs/>
          <w:lang w:val="es-NI"/>
        </w:rPr>
        <w:t>La contabilidad por la fecha de liquidación hace referencia al reconocimiento del activo en el</w:t>
      </w:r>
      <w:r w:rsidR="004B426A" w:rsidRPr="00D414FB">
        <w:rPr>
          <w:rFonts w:ascii="Arial" w:hAnsi="Arial" w:cs="Arial"/>
          <w:bCs/>
          <w:lang w:val="es-NI"/>
        </w:rPr>
        <w:t xml:space="preserve"> día en que lo recibe la institución</w:t>
      </w:r>
      <w:r w:rsidRPr="00D414FB">
        <w:rPr>
          <w:rFonts w:ascii="Arial" w:hAnsi="Arial" w:cs="Arial"/>
          <w:bCs/>
          <w:lang w:val="es-NI"/>
        </w:rPr>
        <w:t xml:space="preserve"> y la baja del activo y el reconocimiento del eventual resultado por la venta o disposición </w:t>
      </w:r>
      <w:r w:rsidRPr="00991A5E">
        <w:rPr>
          <w:rFonts w:ascii="Arial" w:hAnsi="Arial" w:cs="Arial"/>
          <w:bCs/>
          <w:lang w:val="es-NI"/>
        </w:rPr>
        <w:t xml:space="preserve">por otra vía en el día en que se produce su entrega por parte de la </w:t>
      </w:r>
      <w:r w:rsidR="004B426A" w:rsidRPr="00991A5E">
        <w:rPr>
          <w:rFonts w:ascii="Arial" w:hAnsi="Arial" w:cs="Arial"/>
          <w:bCs/>
          <w:lang w:val="es-NI"/>
        </w:rPr>
        <w:t>institución</w:t>
      </w:r>
      <w:r w:rsidRPr="00991A5E">
        <w:rPr>
          <w:rFonts w:ascii="Arial" w:hAnsi="Arial" w:cs="Arial"/>
          <w:bCs/>
          <w:lang w:val="es-NI"/>
        </w:rPr>
        <w:t xml:space="preserve">. Cuando se aplica la contabilidad de la fecha de liquidación, la </w:t>
      </w:r>
      <w:r w:rsidR="009E3A95" w:rsidRPr="00991A5E">
        <w:rPr>
          <w:rFonts w:ascii="Arial" w:hAnsi="Arial" w:cs="Arial"/>
          <w:bCs/>
          <w:lang w:val="es-NI"/>
        </w:rPr>
        <w:t>institución</w:t>
      </w:r>
      <w:r w:rsidRPr="00991A5E">
        <w:rPr>
          <w:rFonts w:ascii="Arial" w:hAnsi="Arial" w:cs="Arial"/>
          <w:bCs/>
          <w:lang w:val="es-NI"/>
        </w:rPr>
        <w:t xml:space="preserve"> contabilizará cualquier cambio en el valor razonable del activo a recibir</w:t>
      </w:r>
      <w:r w:rsidR="006A55E4" w:rsidRPr="00991A5E">
        <w:rPr>
          <w:rFonts w:ascii="Arial" w:hAnsi="Arial" w:cs="Arial"/>
          <w:bCs/>
          <w:lang w:val="es-NI"/>
        </w:rPr>
        <w:t xml:space="preserve"> (solo instrumentos financieros del exterior</w:t>
      </w:r>
      <w:r w:rsidR="00BF049D" w:rsidRPr="00991A5E">
        <w:rPr>
          <w:rFonts w:ascii="Arial" w:hAnsi="Arial" w:cs="Arial"/>
          <w:bCs/>
          <w:lang w:val="es-NI"/>
        </w:rPr>
        <w:t xml:space="preserve"> e inversiones en participaciones de fondos de inversión cerrados nacionales</w:t>
      </w:r>
      <w:r w:rsidR="006A55E4" w:rsidRPr="00991A5E">
        <w:rPr>
          <w:rFonts w:ascii="Arial" w:hAnsi="Arial" w:cs="Arial"/>
          <w:bCs/>
          <w:lang w:val="es-NI"/>
        </w:rPr>
        <w:t>)</w:t>
      </w:r>
      <w:r w:rsidRPr="00991A5E">
        <w:rPr>
          <w:rFonts w:ascii="Arial" w:hAnsi="Arial" w:cs="Arial"/>
          <w:bCs/>
          <w:lang w:val="es-NI"/>
        </w:rPr>
        <w:t>, que se produzca durante el periodo que va desde la fecha de contratación hasta la fecha de liquidación.</w:t>
      </w:r>
    </w:p>
    <w:p w:rsidR="00D414FB" w:rsidRPr="00D414FB" w:rsidRDefault="00D414FB" w:rsidP="008E5440">
      <w:pPr>
        <w:tabs>
          <w:tab w:val="left" w:pos="-720"/>
          <w:tab w:val="left" w:pos="0"/>
          <w:tab w:val="left" w:pos="1080"/>
          <w:tab w:val="left" w:pos="1440"/>
        </w:tabs>
        <w:suppressAutoHyphens/>
        <w:spacing w:after="0" w:line="240" w:lineRule="auto"/>
        <w:ind w:left="547"/>
        <w:jc w:val="both"/>
        <w:rPr>
          <w:rFonts w:ascii="Arial" w:hAnsi="Arial" w:cs="Arial"/>
          <w:bCs/>
          <w:lang w:val="es-NI"/>
        </w:rPr>
      </w:pPr>
    </w:p>
    <w:p w:rsidR="00CC4A57" w:rsidRPr="00EF42F5" w:rsidRDefault="00311DB0" w:rsidP="009E0B56">
      <w:pPr>
        <w:pStyle w:val="Subttulo"/>
        <w:numPr>
          <w:ilvl w:val="1"/>
          <w:numId w:val="10"/>
        </w:numPr>
        <w:tabs>
          <w:tab w:val="left" w:pos="1134"/>
          <w:tab w:val="left" w:pos="1418"/>
        </w:tabs>
        <w:ind w:left="567" w:firstLine="0"/>
        <w:rPr>
          <w:rFonts w:ascii="Arial" w:eastAsia="Times New Roman" w:hAnsi="Arial" w:cs="Arial"/>
          <w:b/>
          <w:color w:val="auto"/>
          <w:spacing w:val="0"/>
          <w:lang w:val="es-MX" w:eastAsia="es-ES"/>
        </w:rPr>
      </w:pPr>
      <w:r w:rsidRPr="00EF42F5">
        <w:rPr>
          <w:rFonts w:ascii="Arial" w:eastAsia="Times New Roman" w:hAnsi="Arial" w:cs="Arial"/>
          <w:b/>
          <w:color w:val="auto"/>
          <w:spacing w:val="0"/>
          <w:lang w:val="es-MX" w:eastAsia="es-ES"/>
        </w:rPr>
        <w:t>MEDICIÓN POSTERIOR</w:t>
      </w:r>
    </w:p>
    <w:p w:rsidR="006A4FD1" w:rsidRPr="00991A5E" w:rsidRDefault="006A4FD1" w:rsidP="008D7F1E">
      <w:pPr>
        <w:pStyle w:val="Subttulo"/>
        <w:numPr>
          <w:ilvl w:val="2"/>
          <w:numId w:val="10"/>
        </w:numPr>
        <w:tabs>
          <w:tab w:val="left" w:pos="993"/>
          <w:tab w:val="left" w:pos="1134"/>
        </w:tabs>
        <w:ind w:left="1701" w:hanging="992"/>
        <w:rPr>
          <w:rFonts w:ascii="Arial" w:hAnsi="Arial" w:cs="Arial"/>
          <w:b/>
          <w:bCs/>
          <w:color w:val="auto"/>
          <w:lang w:val="es-NI"/>
        </w:rPr>
      </w:pPr>
      <w:r w:rsidRPr="00991A5E">
        <w:rPr>
          <w:rFonts w:ascii="Arial" w:hAnsi="Arial" w:cs="Arial"/>
          <w:b/>
          <w:bCs/>
          <w:color w:val="auto"/>
          <w:lang w:val="es-NI"/>
        </w:rPr>
        <w:t>Inversiones al Valor Razonable con Cambios en Resultados</w:t>
      </w:r>
    </w:p>
    <w:p w:rsidR="00563498" w:rsidRPr="00991A5E" w:rsidRDefault="00721818" w:rsidP="008D7F1E">
      <w:pPr>
        <w:pStyle w:val="Textoindependiente"/>
        <w:tabs>
          <w:tab w:val="left" w:pos="709"/>
          <w:tab w:val="left" w:pos="851"/>
        </w:tabs>
        <w:spacing w:after="0" w:line="240" w:lineRule="auto"/>
        <w:ind w:left="709"/>
        <w:jc w:val="both"/>
        <w:rPr>
          <w:rFonts w:ascii="Arial" w:hAnsi="Arial" w:cs="Arial"/>
          <w:bCs/>
          <w:lang w:val="es-NI"/>
        </w:rPr>
      </w:pPr>
      <w:r w:rsidRPr="00991A5E">
        <w:rPr>
          <w:rFonts w:ascii="Arial" w:hAnsi="Arial" w:cs="Arial"/>
          <w:bCs/>
          <w:lang w:val="es-NI"/>
        </w:rPr>
        <w:t>E</w:t>
      </w:r>
      <w:r w:rsidR="00D23271" w:rsidRPr="00991A5E">
        <w:rPr>
          <w:rFonts w:ascii="Arial" w:hAnsi="Arial" w:cs="Arial"/>
          <w:bCs/>
          <w:lang w:val="es-NI"/>
        </w:rPr>
        <w:t xml:space="preserve">sta clasificación </w:t>
      </w:r>
      <w:r w:rsidR="00D414FB" w:rsidRPr="00991A5E">
        <w:rPr>
          <w:rFonts w:ascii="Arial" w:hAnsi="Arial" w:cs="Arial"/>
          <w:bCs/>
          <w:lang w:val="es-NI"/>
        </w:rPr>
        <w:t>únicamente</w:t>
      </w:r>
      <w:r w:rsidR="00D23271" w:rsidRPr="00991A5E">
        <w:rPr>
          <w:rFonts w:ascii="Arial" w:hAnsi="Arial" w:cs="Arial"/>
          <w:bCs/>
          <w:lang w:val="es-NI"/>
        </w:rPr>
        <w:t xml:space="preserve"> corresponde</w:t>
      </w:r>
      <w:r w:rsidRPr="00991A5E">
        <w:rPr>
          <w:rFonts w:ascii="Arial" w:hAnsi="Arial" w:cs="Arial"/>
          <w:bCs/>
          <w:lang w:val="es-NI"/>
        </w:rPr>
        <w:t xml:space="preserve"> a</w:t>
      </w:r>
      <w:r w:rsidR="00D23271" w:rsidRPr="00991A5E">
        <w:rPr>
          <w:rFonts w:ascii="Arial" w:hAnsi="Arial" w:cs="Arial"/>
          <w:bCs/>
          <w:lang w:val="es-NI"/>
        </w:rPr>
        <w:t xml:space="preserve"> los instrumentos financieros del exterior</w:t>
      </w:r>
      <w:r w:rsidR="00A01541" w:rsidRPr="00991A5E">
        <w:rPr>
          <w:rFonts w:ascii="Arial" w:hAnsi="Arial" w:cs="Arial"/>
          <w:bCs/>
          <w:lang w:val="es-NI"/>
        </w:rPr>
        <w:t xml:space="preserve"> e inversiones en participaciones de fondos de inversión cerrados nacionales</w:t>
      </w:r>
      <w:r w:rsidR="00D23271" w:rsidRPr="00991A5E">
        <w:rPr>
          <w:rFonts w:ascii="Arial" w:hAnsi="Arial" w:cs="Arial"/>
          <w:bCs/>
          <w:lang w:val="es-NI"/>
        </w:rPr>
        <w:t xml:space="preserve"> y aplicará todo lo requerido</w:t>
      </w:r>
      <w:r w:rsidR="003C050B" w:rsidRPr="00991A5E">
        <w:rPr>
          <w:rFonts w:ascii="Arial" w:hAnsi="Arial" w:cs="Arial"/>
          <w:bCs/>
          <w:lang w:val="es-NI"/>
        </w:rPr>
        <w:t xml:space="preserve"> por</w:t>
      </w:r>
      <w:r w:rsidR="00D23271" w:rsidRPr="00991A5E">
        <w:rPr>
          <w:rFonts w:ascii="Arial" w:hAnsi="Arial" w:cs="Arial"/>
          <w:bCs/>
          <w:lang w:val="es-NI"/>
        </w:rPr>
        <w:t xml:space="preserve"> la NIIF 9 Instrumentos Financieros.</w:t>
      </w:r>
    </w:p>
    <w:p w:rsidR="004B63AA" w:rsidRPr="00991A5E" w:rsidRDefault="004B63AA" w:rsidP="00D414FB">
      <w:pPr>
        <w:pStyle w:val="Textoindependiente"/>
        <w:spacing w:after="0" w:line="240" w:lineRule="auto"/>
        <w:ind w:left="547"/>
        <w:jc w:val="both"/>
        <w:rPr>
          <w:rFonts w:ascii="Arial" w:hAnsi="Arial" w:cs="Arial"/>
          <w:bCs/>
          <w:lang w:val="es-NI"/>
        </w:rPr>
      </w:pPr>
    </w:p>
    <w:p w:rsidR="00420BE5" w:rsidRPr="00CC4A57" w:rsidRDefault="00FE1B50" w:rsidP="008D7F1E">
      <w:pPr>
        <w:pStyle w:val="Textoindependiente"/>
        <w:spacing w:after="0" w:line="240" w:lineRule="auto"/>
        <w:ind w:left="709"/>
        <w:jc w:val="both"/>
        <w:rPr>
          <w:rFonts w:ascii="Arial" w:hAnsi="Arial" w:cs="Arial"/>
          <w:bCs/>
          <w:lang w:val="es-NI"/>
        </w:rPr>
      </w:pPr>
      <w:r w:rsidRPr="00991A5E">
        <w:rPr>
          <w:rFonts w:ascii="Arial" w:hAnsi="Arial" w:cs="Arial"/>
          <w:bCs/>
          <w:lang w:val="es-NI"/>
        </w:rPr>
        <w:t xml:space="preserve">En el caso de instrumentos financieros representativos de deuda </w:t>
      </w:r>
      <w:r w:rsidR="00D3664F" w:rsidRPr="00991A5E">
        <w:rPr>
          <w:rFonts w:ascii="Arial" w:hAnsi="Arial" w:cs="Arial"/>
          <w:bCs/>
          <w:lang w:val="es-NI"/>
        </w:rPr>
        <w:t>los intereses se debe</w:t>
      </w:r>
      <w:r w:rsidR="00420BE5" w:rsidRPr="00991A5E">
        <w:rPr>
          <w:rFonts w:ascii="Arial" w:hAnsi="Arial" w:cs="Arial"/>
          <w:bCs/>
          <w:lang w:val="es-NI"/>
        </w:rPr>
        <w:t>n registrar por separado de la actualización del valor razonable.</w:t>
      </w:r>
    </w:p>
    <w:p w:rsidR="00CD380B" w:rsidRPr="00CC4A57" w:rsidRDefault="00CD380B" w:rsidP="00CC4A57">
      <w:pPr>
        <w:pStyle w:val="Textoindependiente"/>
        <w:spacing w:after="0" w:line="240" w:lineRule="auto"/>
        <w:ind w:left="567"/>
        <w:jc w:val="both"/>
        <w:rPr>
          <w:rFonts w:ascii="Arial" w:hAnsi="Arial" w:cs="Arial"/>
          <w:bCs/>
          <w:lang w:val="es-NI"/>
        </w:rPr>
      </w:pPr>
    </w:p>
    <w:p w:rsidR="00CD380B" w:rsidRDefault="00CD380B" w:rsidP="008D7F1E">
      <w:pPr>
        <w:pStyle w:val="Textoindependiente"/>
        <w:spacing w:after="0" w:line="240" w:lineRule="auto"/>
        <w:ind w:left="709"/>
        <w:jc w:val="both"/>
        <w:rPr>
          <w:rFonts w:ascii="Arial" w:hAnsi="Arial" w:cs="Arial"/>
          <w:bCs/>
          <w:lang w:val="es-NI"/>
        </w:rPr>
      </w:pPr>
      <w:r w:rsidRPr="00CC4A57">
        <w:rPr>
          <w:rFonts w:ascii="Arial" w:hAnsi="Arial" w:cs="Arial"/>
          <w:bCs/>
          <w:lang w:val="es-NI"/>
        </w:rPr>
        <w:t>Las diferencias de cambio de moneda aumentan el importe en libros del activo financiero y se reconocen en resultados del ejercicio.</w:t>
      </w:r>
    </w:p>
    <w:p w:rsidR="00CC4A57" w:rsidRDefault="00CC4A57" w:rsidP="00CC4A57">
      <w:pPr>
        <w:pStyle w:val="Textoindependiente"/>
        <w:spacing w:after="0" w:line="240" w:lineRule="auto"/>
        <w:ind w:left="567"/>
        <w:jc w:val="both"/>
        <w:rPr>
          <w:rFonts w:ascii="Arial" w:hAnsi="Arial" w:cs="Arial"/>
          <w:bCs/>
          <w:lang w:val="es-NI"/>
        </w:rPr>
      </w:pPr>
    </w:p>
    <w:p w:rsidR="006A4FD1" w:rsidRPr="00CC4A57" w:rsidRDefault="006A4FD1" w:rsidP="008D7F1E">
      <w:pPr>
        <w:pStyle w:val="Subttulo"/>
        <w:numPr>
          <w:ilvl w:val="2"/>
          <w:numId w:val="10"/>
        </w:numPr>
        <w:tabs>
          <w:tab w:val="left" w:pos="993"/>
          <w:tab w:val="left" w:pos="1134"/>
        </w:tabs>
        <w:ind w:left="1701" w:hanging="992"/>
        <w:rPr>
          <w:rFonts w:ascii="Arial" w:hAnsi="Arial" w:cs="Arial"/>
          <w:b/>
          <w:bCs/>
          <w:color w:val="auto"/>
          <w:lang w:val="es-NI"/>
        </w:rPr>
      </w:pPr>
      <w:r w:rsidRPr="00CC4A57">
        <w:rPr>
          <w:rFonts w:ascii="Arial" w:hAnsi="Arial" w:cs="Arial"/>
          <w:b/>
          <w:bCs/>
          <w:color w:val="auto"/>
          <w:lang w:val="es-NI"/>
        </w:rPr>
        <w:t xml:space="preserve">Inversiones </w:t>
      </w:r>
      <w:r w:rsidR="00B67BDD" w:rsidRPr="00CC4A57">
        <w:rPr>
          <w:rFonts w:ascii="Arial" w:hAnsi="Arial" w:cs="Arial"/>
          <w:b/>
          <w:bCs/>
          <w:color w:val="auto"/>
          <w:lang w:val="es-NI"/>
        </w:rPr>
        <w:t>a Valor Razonable con Cambios en Otro Resultado Integral</w:t>
      </w:r>
    </w:p>
    <w:p w:rsidR="00B67D4E" w:rsidRDefault="00B67D4E" w:rsidP="008D7F1E">
      <w:pPr>
        <w:pStyle w:val="Textoindependiente"/>
        <w:spacing w:after="0" w:line="240" w:lineRule="auto"/>
        <w:ind w:left="709"/>
        <w:jc w:val="both"/>
        <w:rPr>
          <w:rFonts w:ascii="Arial" w:hAnsi="Arial" w:cs="Arial"/>
          <w:lang w:val="es-NI"/>
        </w:rPr>
      </w:pPr>
      <w:r w:rsidRPr="00CC4A57">
        <w:rPr>
          <w:rFonts w:ascii="Arial" w:hAnsi="Arial" w:cs="Arial"/>
          <w:bCs/>
          <w:lang w:val="es-NI"/>
        </w:rPr>
        <w:lastRenderedPageBreak/>
        <w:t>Para la determina</w:t>
      </w:r>
      <w:r w:rsidR="006D486D" w:rsidRPr="00CC4A57">
        <w:rPr>
          <w:rFonts w:ascii="Arial" w:hAnsi="Arial" w:cs="Arial"/>
          <w:bCs/>
          <w:lang w:val="es-NI"/>
        </w:rPr>
        <w:t xml:space="preserve">r </w:t>
      </w:r>
      <w:r w:rsidRPr="00CC4A57">
        <w:rPr>
          <w:rFonts w:ascii="Arial" w:hAnsi="Arial" w:cs="Arial"/>
          <w:bCs/>
          <w:lang w:val="es-NI"/>
        </w:rPr>
        <w:t xml:space="preserve">el valor </w:t>
      </w:r>
      <w:r w:rsidR="006D486D" w:rsidRPr="00CC4A57">
        <w:rPr>
          <w:rFonts w:ascii="Arial" w:hAnsi="Arial" w:cs="Arial"/>
          <w:bCs/>
          <w:lang w:val="es-NI"/>
        </w:rPr>
        <w:t>razonable</w:t>
      </w:r>
      <w:r w:rsidRPr="00CC4A57">
        <w:rPr>
          <w:rFonts w:ascii="Arial" w:hAnsi="Arial" w:cs="Arial"/>
          <w:bCs/>
          <w:lang w:val="es-NI"/>
        </w:rPr>
        <w:t xml:space="preserve"> de los </w:t>
      </w:r>
      <w:r w:rsidR="00460D77" w:rsidRPr="00CC4A57">
        <w:rPr>
          <w:rFonts w:ascii="Arial" w:hAnsi="Arial" w:cs="Arial"/>
          <w:bCs/>
          <w:lang w:val="es-NI"/>
        </w:rPr>
        <w:t>instrumentos</w:t>
      </w:r>
      <w:r w:rsidRPr="00CC4A57">
        <w:rPr>
          <w:rFonts w:ascii="Arial" w:hAnsi="Arial" w:cs="Arial"/>
          <w:bCs/>
          <w:lang w:val="es-NI"/>
        </w:rPr>
        <w:t xml:space="preserve"> </w:t>
      </w:r>
      <w:r w:rsidR="00FE57F2" w:rsidRPr="00CC4A57">
        <w:rPr>
          <w:rFonts w:ascii="Arial" w:hAnsi="Arial" w:cs="Arial"/>
          <w:bCs/>
          <w:lang w:val="es-NI"/>
        </w:rPr>
        <w:t>financiero</w:t>
      </w:r>
      <w:r w:rsidRPr="00CC4A57">
        <w:rPr>
          <w:rFonts w:ascii="Arial" w:hAnsi="Arial" w:cs="Arial"/>
          <w:bCs/>
          <w:lang w:val="es-NI"/>
        </w:rPr>
        <w:t>s se deben aplicar los</w:t>
      </w:r>
      <w:r w:rsidRPr="00D414FB">
        <w:rPr>
          <w:rFonts w:ascii="Arial" w:hAnsi="Arial" w:cs="Arial"/>
          <w:lang w:val="es-NI"/>
        </w:rPr>
        <w:t xml:space="preserve"> siguientes criterios:</w:t>
      </w:r>
    </w:p>
    <w:p w:rsidR="008D7F1E" w:rsidRDefault="008D7F1E" w:rsidP="008D7F1E">
      <w:pPr>
        <w:pStyle w:val="Textoindependiente"/>
        <w:spacing w:after="0" w:line="240" w:lineRule="auto"/>
        <w:ind w:left="709"/>
        <w:jc w:val="both"/>
        <w:rPr>
          <w:rFonts w:ascii="Arial" w:hAnsi="Arial" w:cs="Arial"/>
          <w:lang w:val="es-NI"/>
        </w:rPr>
      </w:pPr>
    </w:p>
    <w:p w:rsidR="0054656E" w:rsidRPr="00D414FB" w:rsidRDefault="0054656E" w:rsidP="008D7F1E">
      <w:pPr>
        <w:pStyle w:val="Textoindependiente"/>
        <w:spacing w:after="0" w:line="240" w:lineRule="auto"/>
        <w:ind w:left="709"/>
        <w:jc w:val="both"/>
        <w:rPr>
          <w:rFonts w:ascii="Arial" w:hAnsi="Arial" w:cs="Arial"/>
          <w:lang w:val="es-NI"/>
        </w:rPr>
      </w:pPr>
    </w:p>
    <w:p w:rsidR="00B67D4E" w:rsidRPr="009E0B56" w:rsidRDefault="00B67D4E" w:rsidP="008D7F1E">
      <w:pPr>
        <w:pStyle w:val="Prrafodelista"/>
        <w:numPr>
          <w:ilvl w:val="1"/>
          <w:numId w:val="12"/>
        </w:numPr>
        <w:ind w:left="1276" w:hanging="218"/>
        <w:contextualSpacing/>
        <w:jc w:val="both"/>
        <w:rPr>
          <w:rFonts w:ascii="Arial" w:hAnsi="Arial" w:cs="Arial"/>
          <w:b/>
          <w:bCs/>
          <w:iCs/>
          <w:sz w:val="22"/>
          <w:szCs w:val="22"/>
          <w:lang w:val="es-NI"/>
        </w:rPr>
      </w:pPr>
      <w:r w:rsidRPr="009E0B56">
        <w:rPr>
          <w:rFonts w:ascii="Arial" w:hAnsi="Arial" w:cs="Arial"/>
          <w:b/>
          <w:bCs/>
          <w:iCs/>
          <w:sz w:val="22"/>
          <w:szCs w:val="22"/>
          <w:lang w:val="es-NI"/>
        </w:rPr>
        <w:t xml:space="preserve">Para </w:t>
      </w:r>
      <w:r w:rsidR="00460D77" w:rsidRPr="009E0B56">
        <w:rPr>
          <w:rFonts w:ascii="Arial" w:hAnsi="Arial" w:cs="Arial"/>
          <w:b/>
          <w:bCs/>
          <w:iCs/>
          <w:sz w:val="22"/>
          <w:szCs w:val="22"/>
          <w:lang w:val="es-NI"/>
        </w:rPr>
        <w:t>instrumentos</w:t>
      </w:r>
      <w:r w:rsidRPr="009E0B56">
        <w:rPr>
          <w:rFonts w:ascii="Arial" w:hAnsi="Arial" w:cs="Arial"/>
          <w:b/>
          <w:bCs/>
          <w:iCs/>
          <w:sz w:val="22"/>
          <w:szCs w:val="22"/>
          <w:lang w:val="es-NI"/>
        </w:rPr>
        <w:t xml:space="preserve"> </w:t>
      </w:r>
      <w:r w:rsidR="00797851" w:rsidRPr="009E0B56">
        <w:rPr>
          <w:rFonts w:ascii="Arial" w:hAnsi="Arial" w:cs="Arial"/>
          <w:b/>
          <w:bCs/>
          <w:iCs/>
          <w:sz w:val="22"/>
          <w:szCs w:val="22"/>
          <w:lang w:val="es-NI"/>
        </w:rPr>
        <w:t>financieros</w:t>
      </w:r>
      <w:r w:rsidRPr="009E0B56">
        <w:rPr>
          <w:rFonts w:ascii="Arial" w:hAnsi="Arial" w:cs="Arial"/>
          <w:b/>
          <w:bCs/>
          <w:iCs/>
          <w:sz w:val="22"/>
          <w:szCs w:val="22"/>
          <w:lang w:val="es-NI"/>
        </w:rPr>
        <w:t xml:space="preserve"> cotizados en bolsa de valores</w:t>
      </w:r>
    </w:p>
    <w:p w:rsidR="002C391A" w:rsidRPr="00D414FB" w:rsidRDefault="002C391A" w:rsidP="002C391A">
      <w:pPr>
        <w:pStyle w:val="Prrafodelista"/>
        <w:ind w:left="1418"/>
        <w:contextualSpacing/>
        <w:jc w:val="both"/>
        <w:rPr>
          <w:rFonts w:ascii="Arial" w:hAnsi="Arial" w:cs="Arial"/>
          <w:b/>
          <w:bCs/>
          <w:iCs/>
          <w:lang w:val="es-NI"/>
        </w:rPr>
      </w:pPr>
    </w:p>
    <w:p w:rsidR="00B67D4E" w:rsidRPr="00D414FB" w:rsidRDefault="00B67D4E" w:rsidP="008D7F1E">
      <w:pPr>
        <w:pStyle w:val="Textoindependiente"/>
        <w:spacing w:after="0" w:line="240" w:lineRule="auto"/>
        <w:ind w:left="873"/>
        <w:jc w:val="both"/>
        <w:rPr>
          <w:rFonts w:ascii="Arial" w:hAnsi="Arial" w:cs="Arial"/>
          <w:lang w:val="es-NI"/>
        </w:rPr>
      </w:pPr>
      <w:r w:rsidRPr="00D414FB">
        <w:rPr>
          <w:rFonts w:ascii="Arial" w:hAnsi="Arial" w:cs="Arial"/>
          <w:lang w:val="es-NI"/>
        </w:rPr>
        <w:t xml:space="preserve">El valor </w:t>
      </w:r>
      <w:r w:rsidR="00425863">
        <w:rPr>
          <w:rFonts w:ascii="Arial" w:hAnsi="Arial" w:cs="Arial"/>
          <w:lang w:val="es-NI"/>
        </w:rPr>
        <w:t xml:space="preserve">razonable </w:t>
      </w:r>
      <w:r w:rsidRPr="00D414FB">
        <w:rPr>
          <w:rFonts w:ascii="Arial" w:hAnsi="Arial" w:cs="Arial"/>
          <w:lang w:val="es-NI"/>
        </w:rPr>
        <w:t xml:space="preserve">se determina tomando el promedio de las cotizaciones, de las transacciones en bolsa de valores del último mes; de no haberse registrado transacciones en bolsa en el último mes, se toma el promedio del último trimestre. Si en este período tampoco se hubieran registrado transacciones y si el emisor es una institución financiera supervisada o una </w:t>
      </w:r>
      <w:r w:rsidR="009E3A95" w:rsidRPr="00D414FB">
        <w:rPr>
          <w:rFonts w:ascii="Arial" w:hAnsi="Arial" w:cs="Arial"/>
          <w:lang w:val="es-NI"/>
        </w:rPr>
        <w:t>institución</w:t>
      </w:r>
      <w:r w:rsidRPr="00D414FB">
        <w:rPr>
          <w:rFonts w:ascii="Arial" w:hAnsi="Arial" w:cs="Arial"/>
          <w:lang w:val="es-NI"/>
        </w:rPr>
        <w:t xml:space="preserve"> del sector público del país, se aplica el mismo criterio que se establece en el literal ii).</w:t>
      </w:r>
    </w:p>
    <w:p w:rsidR="00675F56" w:rsidRPr="00D414FB" w:rsidRDefault="00675F56" w:rsidP="00675F56">
      <w:pPr>
        <w:pStyle w:val="Textoindependiente"/>
        <w:spacing w:after="0" w:line="240" w:lineRule="auto"/>
        <w:ind w:left="902"/>
        <w:jc w:val="both"/>
        <w:rPr>
          <w:rFonts w:ascii="Arial" w:hAnsi="Arial" w:cs="Arial"/>
          <w:lang w:val="es-NI"/>
        </w:rPr>
      </w:pPr>
    </w:p>
    <w:p w:rsidR="00B67D4E" w:rsidRPr="009E0B56" w:rsidRDefault="00B67D4E" w:rsidP="008D7F1E">
      <w:pPr>
        <w:pStyle w:val="Prrafodelista"/>
        <w:numPr>
          <w:ilvl w:val="1"/>
          <w:numId w:val="12"/>
        </w:numPr>
        <w:ind w:left="1276" w:hanging="218"/>
        <w:contextualSpacing/>
        <w:jc w:val="both"/>
        <w:rPr>
          <w:rFonts w:ascii="Arial" w:hAnsi="Arial" w:cs="Arial"/>
          <w:b/>
          <w:bCs/>
          <w:iCs/>
          <w:sz w:val="22"/>
          <w:szCs w:val="22"/>
          <w:lang w:val="es-NI"/>
        </w:rPr>
      </w:pPr>
      <w:r w:rsidRPr="009E0B56">
        <w:rPr>
          <w:rFonts w:ascii="Arial" w:hAnsi="Arial" w:cs="Arial"/>
          <w:b/>
          <w:bCs/>
          <w:iCs/>
          <w:sz w:val="22"/>
          <w:szCs w:val="22"/>
          <w:lang w:val="es-NI"/>
        </w:rPr>
        <w:t xml:space="preserve">Para </w:t>
      </w:r>
      <w:r w:rsidR="00460D77" w:rsidRPr="009E0B56">
        <w:rPr>
          <w:rFonts w:ascii="Arial" w:hAnsi="Arial" w:cs="Arial"/>
          <w:b/>
          <w:bCs/>
          <w:iCs/>
          <w:sz w:val="22"/>
          <w:szCs w:val="22"/>
          <w:lang w:val="es-NI"/>
        </w:rPr>
        <w:t>instrumentos</w:t>
      </w:r>
      <w:r w:rsidRPr="009E0B56">
        <w:rPr>
          <w:rFonts w:ascii="Arial" w:hAnsi="Arial" w:cs="Arial"/>
          <w:b/>
          <w:bCs/>
          <w:iCs/>
          <w:sz w:val="22"/>
          <w:szCs w:val="22"/>
          <w:lang w:val="es-NI"/>
        </w:rPr>
        <w:t xml:space="preserve"> </w:t>
      </w:r>
      <w:r w:rsidR="00B04E56" w:rsidRPr="009E0B56">
        <w:rPr>
          <w:rFonts w:ascii="Arial" w:hAnsi="Arial" w:cs="Arial"/>
          <w:b/>
          <w:bCs/>
          <w:iCs/>
          <w:sz w:val="22"/>
          <w:szCs w:val="22"/>
          <w:lang w:val="es-NI"/>
        </w:rPr>
        <w:t xml:space="preserve">financieros </w:t>
      </w:r>
      <w:r w:rsidRPr="009E0B56">
        <w:rPr>
          <w:rFonts w:ascii="Arial" w:hAnsi="Arial" w:cs="Arial"/>
          <w:b/>
          <w:bCs/>
          <w:iCs/>
          <w:sz w:val="22"/>
          <w:szCs w:val="22"/>
          <w:lang w:val="es-NI"/>
        </w:rPr>
        <w:t xml:space="preserve">emitidos por otras instituciones financieras supervisadas o por </w:t>
      </w:r>
      <w:r w:rsidR="0048030D" w:rsidRPr="009E0B56">
        <w:rPr>
          <w:rFonts w:ascii="Arial" w:hAnsi="Arial" w:cs="Arial"/>
          <w:b/>
          <w:bCs/>
          <w:iCs/>
          <w:sz w:val="22"/>
          <w:szCs w:val="22"/>
          <w:lang w:val="es-NI"/>
        </w:rPr>
        <w:t>institucio</w:t>
      </w:r>
      <w:r w:rsidR="009E3A95" w:rsidRPr="009E0B56">
        <w:rPr>
          <w:rFonts w:ascii="Arial" w:hAnsi="Arial" w:cs="Arial"/>
          <w:b/>
          <w:bCs/>
          <w:iCs/>
          <w:sz w:val="22"/>
          <w:szCs w:val="22"/>
          <w:lang w:val="es-NI"/>
        </w:rPr>
        <w:t>n</w:t>
      </w:r>
      <w:r w:rsidRPr="009E0B56">
        <w:rPr>
          <w:rFonts w:ascii="Arial" w:hAnsi="Arial" w:cs="Arial"/>
          <w:b/>
          <w:bCs/>
          <w:iCs/>
          <w:sz w:val="22"/>
          <w:szCs w:val="22"/>
          <w:lang w:val="es-NI"/>
        </w:rPr>
        <w:t>es del sector público del país, no cotizados en bolsa</w:t>
      </w:r>
    </w:p>
    <w:p w:rsidR="00EF42F5" w:rsidRPr="00D414FB" w:rsidRDefault="00EF42F5" w:rsidP="00EF42F5">
      <w:pPr>
        <w:pStyle w:val="Prrafodelista"/>
        <w:ind w:left="1800"/>
        <w:contextualSpacing/>
        <w:jc w:val="both"/>
        <w:rPr>
          <w:rFonts w:ascii="Arial" w:hAnsi="Arial" w:cs="Arial"/>
          <w:b/>
          <w:bCs/>
          <w:iCs/>
          <w:lang w:val="es-NI"/>
        </w:rPr>
      </w:pPr>
    </w:p>
    <w:p w:rsidR="00B67D4E" w:rsidRPr="00D414FB" w:rsidRDefault="00B67D4E" w:rsidP="00C3650B">
      <w:pPr>
        <w:pStyle w:val="Textoindependiente"/>
        <w:tabs>
          <w:tab w:val="left" w:pos="851"/>
        </w:tabs>
        <w:spacing w:after="0" w:line="240" w:lineRule="auto"/>
        <w:ind w:left="851"/>
        <w:jc w:val="both"/>
        <w:rPr>
          <w:rFonts w:ascii="Arial" w:hAnsi="Arial" w:cs="Arial"/>
          <w:lang w:val="es-NI"/>
        </w:rPr>
      </w:pPr>
      <w:r w:rsidRPr="00D414FB">
        <w:rPr>
          <w:rFonts w:ascii="Arial" w:hAnsi="Arial" w:cs="Arial"/>
          <w:lang w:val="es-NI"/>
        </w:rPr>
        <w:t>Para estas invers</w:t>
      </w:r>
      <w:r w:rsidR="004717EC" w:rsidRPr="00D414FB">
        <w:rPr>
          <w:rFonts w:ascii="Arial" w:hAnsi="Arial" w:cs="Arial"/>
          <w:lang w:val="es-NI"/>
        </w:rPr>
        <w:t>iones</w:t>
      </w:r>
      <w:r w:rsidR="00407771">
        <w:rPr>
          <w:rFonts w:ascii="Arial" w:hAnsi="Arial" w:cs="Arial"/>
          <w:lang w:val="es-NI"/>
        </w:rPr>
        <w:t xml:space="preserve">, el valor razonable </w:t>
      </w:r>
      <w:r w:rsidR="004717EC" w:rsidRPr="00D414FB">
        <w:rPr>
          <w:rFonts w:ascii="Arial" w:hAnsi="Arial" w:cs="Arial"/>
          <w:lang w:val="es-NI"/>
        </w:rPr>
        <w:t xml:space="preserve">se </w:t>
      </w:r>
      <w:r w:rsidR="00407771">
        <w:rPr>
          <w:rFonts w:ascii="Arial" w:hAnsi="Arial" w:cs="Arial"/>
          <w:lang w:val="es-NI"/>
        </w:rPr>
        <w:t>determina a través d</w:t>
      </w:r>
      <w:r w:rsidR="004717EC" w:rsidRPr="00D414FB">
        <w:rPr>
          <w:rFonts w:ascii="Arial" w:hAnsi="Arial" w:cs="Arial"/>
          <w:lang w:val="es-NI"/>
        </w:rPr>
        <w:t>el valor presente</w:t>
      </w:r>
      <w:r w:rsidRPr="00D414FB">
        <w:rPr>
          <w:rFonts w:ascii="Arial" w:hAnsi="Arial" w:cs="Arial"/>
          <w:lang w:val="es-NI"/>
        </w:rPr>
        <w:t xml:space="preserve">, el cual se calcula descontando los flujos futuros de la inversión, aplicando la tasa mayor entre: i) la específica pactada en el </w:t>
      </w:r>
      <w:r w:rsidR="00134613" w:rsidRPr="00D414FB">
        <w:rPr>
          <w:rFonts w:ascii="Arial" w:hAnsi="Arial" w:cs="Arial"/>
          <w:lang w:val="es-NI"/>
        </w:rPr>
        <w:t>instrumento financiero</w:t>
      </w:r>
      <w:r w:rsidRPr="00D414FB">
        <w:rPr>
          <w:rFonts w:ascii="Arial" w:hAnsi="Arial" w:cs="Arial"/>
          <w:lang w:val="es-NI"/>
        </w:rPr>
        <w:t xml:space="preserve"> y ii) </w:t>
      </w:r>
      <w:r w:rsidR="00134613" w:rsidRPr="00D414FB">
        <w:rPr>
          <w:rFonts w:ascii="Arial" w:hAnsi="Arial" w:cs="Arial"/>
          <w:lang w:val="es-NI"/>
        </w:rPr>
        <w:t xml:space="preserve">la tasa </w:t>
      </w:r>
      <w:r w:rsidRPr="00D414FB">
        <w:rPr>
          <w:rFonts w:ascii="Arial" w:hAnsi="Arial" w:cs="Arial"/>
          <w:lang w:val="es-NI"/>
        </w:rPr>
        <w:t>promedio del último mes aplicad</w:t>
      </w:r>
      <w:r w:rsidR="00134613" w:rsidRPr="00D414FB">
        <w:rPr>
          <w:rFonts w:ascii="Arial" w:hAnsi="Arial" w:cs="Arial"/>
          <w:lang w:val="es-NI"/>
        </w:rPr>
        <w:t>o</w:t>
      </w:r>
      <w:r w:rsidRPr="00D414FB">
        <w:rPr>
          <w:rFonts w:ascii="Arial" w:hAnsi="Arial" w:cs="Arial"/>
          <w:lang w:val="es-NI"/>
        </w:rPr>
        <w:t xml:space="preserve"> para otros </w:t>
      </w:r>
      <w:r w:rsidR="00460D77" w:rsidRPr="00D414FB">
        <w:rPr>
          <w:rFonts w:ascii="Arial" w:hAnsi="Arial" w:cs="Arial"/>
          <w:lang w:val="es-NI"/>
        </w:rPr>
        <w:t>instrumentos</w:t>
      </w:r>
      <w:r w:rsidRPr="00D414FB">
        <w:rPr>
          <w:rFonts w:ascii="Arial" w:hAnsi="Arial" w:cs="Arial"/>
          <w:lang w:val="es-NI"/>
        </w:rPr>
        <w:t xml:space="preserve"> </w:t>
      </w:r>
      <w:r w:rsidR="00134613" w:rsidRPr="00D414FB">
        <w:rPr>
          <w:rFonts w:ascii="Arial" w:hAnsi="Arial" w:cs="Arial"/>
          <w:lang w:val="es-NI"/>
        </w:rPr>
        <w:t xml:space="preserve">financieros </w:t>
      </w:r>
      <w:r w:rsidRPr="00D414FB">
        <w:rPr>
          <w:rFonts w:ascii="Arial" w:hAnsi="Arial" w:cs="Arial"/>
          <w:lang w:val="es-NI"/>
        </w:rPr>
        <w:t xml:space="preserve">transados en bolsa emitidos por las mismas instituciones u otras similares, para plazos similares o los más cercanos al </w:t>
      </w:r>
      <w:r w:rsidR="00134613" w:rsidRPr="00D414FB">
        <w:rPr>
          <w:rFonts w:ascii="Arial" w:hAnsi="Arial" w:cs="Arial"/>
          <w:lang w:val="es-NI"/>
        </w:rPr>
        <w:t xml:space="preserve">instrumento financiero </w:t>
      </w:r>
      <w:r w:rsidRPr="00D414FB">
        <w:rPr>
          <w:rFonts w:ascii="Arial" w:hAnsi="Arial" w:cs="Arial"/>
          <w:lang w:val="es-NI"/>
        </w:rPr>
        <w:t>que se valúa. Cuando exista mora en el pago de los intereses devengados, los mismos no se toman en cuenta al calcular el flujo futuro de la inversión.</w:t>
      </w:r>
    </w:p>
    <w:p w:rsidR="00675F56" w:rsidRPr="00D414FB" w:rsidRDefault="00675F56" w:rsidP="00AB484C">
      <w:pPr>
        <w:pStyle w:val="Textoindependiente"/>
        <w:spacing w:after="0" w:line="240" w:lineRule="auto"/>
        <w:ind w:left="567"/>
        <w:jc w:val="both"/>
        <w:rPr>
          <w:rFonts w:ascii="Arial" w:hAnsi="Arial" w:cs="Arial"/>
          <w:lang w:val="es-NI"/>
        </w:rPr>
      </w:pPr>
    </w:p>
    <w:p w:rsidR="006A4FD1" w:rsidRPr="00D414FB" w:rsidRDefault="006A4FD1" w:rsidP="00C3650B">
      <w:pPr>
        <w:pStyle w:val="Textoindependiente"/>
        <w:spacing w:after="0" w:line="240" w:lineRule="auto"/>
        <w:ind w:left="698" w:firstLine="153"/>
        <w:jc w:val="both"/>
        <w:rPr>
          <w:rFonts w:ascii="Arial" w:hAnsi="Arial" w:cs="Arial"/>
          <w:b/>
          <w:lang w:val="es-NI"/>
        </w:rPr>
      </w:pPr>
      <w:r w:rsidRPr="00D414FB">
        <w:rPr>
          <w:rFonts w:ascii="Arial" w:hAnsi="Arial" w:cs="Arial"/>
          <w:b/>
          <w:lang w:val="es-NI"/>
        </w:rPr>
        <w:t>Reconocimiento de los cambios en el valor razonable</w:t>
      </w:r>
    </w:p>
    <w:p w:rsidR="00FD6694" w:rsidRDefault="00FD6694" w:rsidP="00AB484C">
      <w:pPr>
        <w:pStyle w:val="Textoindependiente"/>
        <w:spacing w:after="0" w:line="240" w:lineRule="auto"/>
        <w:ind w:left="567"/>
        <w:jc w:val="both"/>
        <w:rPr>
          <w:rFonts w:ascii="Arial" w:hAnsi="Arial" w:cs="Arial"/>
          <w:lang w:val="es-NI"/>
        </w:rPr>
      </w:pPr>
    </w:p>
    <w:p w:rsidR="00724934" w:rsidRPr="00D414FB" w:rsidRDefault="00724934" w:rsidP="00C3650B">
      <w:pPr>
        <w:pStyle w:val="Textoindependiente"/>
        <w:spacing w:after="0" w:line="240" w:lineRule="auto"/>
        <w:ind w:left="851"/>
        <w:jc w:val="both"/>
        <w:rPr>
          <w:rFonts w:ascii="Arial" w:hAnsi="Arial" w:cs="Arial"/>
          <w:lang w:val="es-NI"/>
        </w:rPr>
      </w:pPr>
      <w:r w:rsidRPr="00D414FB">
        <w:rPr>
          <w:rFonts w:ascii="Arial" w:hAnsi="Arial" w:cs="Arial"/>
          <w:lang w:val="es-NI"/>
        </w:rPr>
        <w:t>Los cambios en el valor razonable se reconocerán como una partida dentro de Otro Resultado Integral y en la cuenta del activo que corresponda, hasta que dichos instrumentos financieros se den de baja o se reclasifiquen de categoría.</w:t>
      </w:r>
    </w:p>
    <w:p w:rsidR="00724934" w:rsidRPr="00D414FB" w:rsidRDefault="00724934" w:rsidP="00AB484C">
      <w:pPr>
        <w:pStyle w:val="Textoindependiente"/>
        <w:spacing w:after="0" w:line="240" w:lineRule="auto"/>
        <w:ind w:left="567"/>
        <w:jc w:val="both"/>
        <w:rPr>
          <w:rFonts w:ascii="Arial" w:hAnsi="Arial" w:cs="Arial"/>
          <w:lang w:val="es-NI"/>
        </w:rPr>
      </w:pPr>
    </w:p>
    <w:p w:rsidR="00724934" w:rsidRPr="00D414FB" w:rsidRDefault="00724934" w:rsidP="00C3650B">
      <w:pPr>
        <w:pStyle w:val="Textoindependiente"/>
        <w:spacing w:after="0" w:line="240" w:lineRule="auto"/>
        <w:ind w:left="851"/>
        <w:jc w:val="both"/>
        <w:rPr>
          <w:rFonts w:ascii="Arial" w:hAnsi="Arial" w:cs="Arial"/>
          <w:lang w:val="es-NI"/>
        </w:rPr>
      </w:pPr>
      <w:r w:rsidRPr="00D414FB">
        <w:rPr>
          <w:rFonts w:ascii="Arial" w:hAnsi="Arial" w:cs="Arial"/>
          <w:lang w:val="es-NI"/>
        </w:rPr>
        <w:t>Las diferencias de cambio de moneda aumentan el importe en libros del activo financiero y se reconocen en resultados del ejercicio.</w:t>
      </w:r>
    </w:p>
    <w:p w:rsidR="00724934" w:rsidRPr="00D414FB" w:rsidRDefault="00724934" w:rsidP="00AB484C">
      <w:pPr>
        <w:tabs>
          <w:tab w:val="left" w:pos="-720"/>
          <w:tab w:val="left" w:pos="0"/>
          <w:tab w:val="left" w:pos="1080"/>
          <w:tab w:val="left" w:pos="1440"/>
        </w:tabs>
        <w:suppressAutoHyphens/>
        <w:spacing w:after="0" w:line="240" w:lineRule="atLeast"/>
        <w:ind w:left="567"/>
        <w:jc w:val="both"/>
        <w:rPr>
          <w:rFonts w:ascii="Arial" w:hAnsi="Arial" w:cs="Arial"/>
          <w:bCs/>
          <w:lang w:val="es-NI"/>
        </w:rPr>
      </w:pPr>
    </w:p>
    <w:p w:rsidR="006A4FD1" w:rsidRPr="00CC4A57" w:rsidRDefault="006A4FD1" w:rsidP="00C66AB7">
      <w:pPr>
        <w:pStyle w:val="Subttulo"/>
        <w:numPr>
          <w:ilvl w:val="2"/>
          <w:numId w:val="10"/>
        </w:numPr>
        <w:tabs>
          <w:tab w:val="left" w:pos="993"/>
          <w:tab w:val="left" w:pos="1134"/>
        </w:tabs>
        <w:ind w:left="1701" w:hanging="992"/>
        <w:rPr>
          <w:rFonts w:ascii="Arial" w:hAnsi="Arial" w:cs="Arial"/>
          <w:b/>
          <w:bCs/>
          <w:color w:val="auto"/>
          <w:lang w:val="es-NI"/>
        </w:rPr>
      </w:pPr>
      <w:r w:rsidRPr="00CC4A57">
        <w:rPr>
          <w:rFonts w:ascii="Arial" w:hAnsi="Arial" w:cs="Arial"/>
          <w:b/>
          <w:bCs/>
          <w:color w:val="auto"/>
          <w:lang w:val="es-NI"/>
        </w:rPr>
        <w:t xml:space="preserve">Inversiones </w:t>
      </w:r>
      <w:r w:rsidR="001E244A" w:rsidRPr="00CC4A57">
        <w:rPr>
          <w:rFonts w:ascii="Arial" w:hAnsi="Arial" w:cs="Arial"/>
          <w:b/>
          <w:bCs/>
          <w:color w:val="auto"/>
          <w:lang w:val="es-NI"/>
        </w:rPr>
        <w:t>a Costo Amortizado</w:t>
      </w:r>
    </w:p>
    <w:p w:rsidR="00801EFE" w:rsidRPr="00D414FB" w:rsidRDefault="00801EFE" w:rsidP="00C3650B">
      <w:pPr>
        <w:pStyle w:val="Textoindependiente"/>
        <w:spacing w:after="0" w:line="240" w:lineRule="auto"/>
        <w:ind w:left="709"/>
        <w:jc w:val="both"/>
        <w:rPr>
          <w:rFonts w:ascii="Arial" w:hAnsi="Arial" w:cs="Arial"/>
          <w:lang w:val="es-NI"/>
        </w:rPr>
      </w:pPr>
      <w:r w:rsidRPr="00D414FB">
        <w:rPr>
          <w:rFonts w:ascii="Arial" w:hAnsi="Arial" w:cs="Arial"/>
          <w:lang w:val="es-NI"/>
        </w:rPr>
        <w:t xml:space="preserve">Los instrumentos financieros </w:t>
      </w:r>
      <w:r w:rsidR="000A2423" w:rsidRPr="00D414FB">
        <w:rPr>
          <w:rFonts w:ascii="Arial" w:hAnsi="Arial" w:cs="Arial"/>
          <w:lang w:val="es-NI"/>
        </w:rPr>
        <w:t>de esta clasificación</w:t>
      </w:r>
      <w:r w:rsidRPr="00D414FB">
        <w:rPr>
          <w:rFonts w:ascii="Arial" w:hAnsi="Arial" w:cs="Arial"/>
          <w:lang w:val="es-NI"/>
        </w:rPr>
        <w:t>, se miden al valor presente de los flujos de efectivo futuros</w:t>
      </w:r>
      <w:r w:rsidR="00312E08" w:rsidRPr="00D414FB">
        <w:rPr>
          <w:rFonts w:ascii="Arial" w:hAnsi="Arial" w:cs="Arial"/>
          <w:lang w:val="es-NI"/>
        </w:rPr>
        <w:t xml:space="preserve"> (costo amortizado)</w:t>
      </w:r>
      <w:r w:rsidRPr="00D414FB">
        <w:rPr>
          <w:rFonts w:ascii="Arial" w:hAnsi="Arial" w:cs="Arial"/>
          <w:lang w:val="es-NI"/>
        </w:rPr>
        <w:t>, descontados a la tasa de interés efectiva.</w:t>
      </w:r>
    </w:p>
    <w:p w:rsidR="00801EFE" w:rsidRPr="00D414FB" w:rsidRDefault="00801EFE" w:rsidP="00AB484C">
      <w:pPr>
        <w:pStyle w:val="Textoindependiente"/>
        <w:spacing w:after="0" w:line="240" w:lineRule="auto"/>
        <w:ind w:left="567"/>
        <w:jc w:val="both"/>
        <w:rPr>
          <w:rFonts w:ascii="Arial" w:hAnsi="Arial" w:cs="Arial"/>
          <w:lang w:val="es-NI"/>
        </w:rPr>
      </w:pPr>
    </w:p>
    <w:p w:rsidR="00801EFE" w:rsidRDefault="00801EFE" w:rsidP="00C3650B">
      <w:pPr>
        <w:pStyle w:val="Textoindependiente"/>
        <w:spacing w:after="0" w:line="240" w:lineRule="auto"/>
        <w:ind w:left="709"/>
        <w:jc w:val="both"/>
        <w:rPr>
          <w:rFonts w:ascii="Arial" w:hAnsi="Arial" w:cs="Arial"/>
          <w:lang w:val="es-NI"/>
        </w:rPr>
      </w:pPr>
      <w:r w:rsidRPr="00D414FB">
        <w:rPr>
          <w:rFonts w:ascii="Arial" w:hAnsi="Arial" w:cs="Arial"/>
          <w:lang w:val="es-NI"/>
        </w:rPr>
        <w:t>Las diferencias de cambio de moneda aumentan el importe en libros del activo financiero y se reconocen en resultados del ejercicio.</w:t>
      </w:r>
    </w:p>
    <w:p w:rsidR="009D6486" w:rsidRDefault="009D6486" w:rsidP="00AB484C">
      <w:pPr>
        <w:pStyle w:val="Textoindependiente"/>
        <w:spacing w:after="0" w:line="240" w:lineRule="auto"/>
        <w:ind w:left="567"/>
        <w:jc w:val="both"/>
        <w:rPr>
          <w:rFonts w:ascii="Arial" w:hAnsi="Arial" w:cs="Arial"/>
          <w:lang w:val="es-NI"/>
        </w:rPr>
      </w:pPr>
    </w:p>
    <w:p w:rsidR="006A4FD1" w:rsidRPr="00CC4A57" w:rsidRDefault="00CC4A57" w:rsidP="00C3650B">
      <w:pPr>
        <w:pStyle w:val="Subttulo"/>
        <w:numPr>
          <w:ilvl w:val="2"/>
          <w:numId w:val="10"/>
        </w:numPr>
        <w:tabs>
          <w:tab w:val="left" w:pos="993"/>
          <w:tab w:val="left" w:pos="1134"/>
        </w:tabs>
        <w:ind w:left="1701" w:hanging="992"/>
        <w:rPr>
          <w:rFonts w:ascii="Arial" w:hAnsi="Arial" w:cs="Arial"/>
          <w:b/>
          <w:bCs/>
          <w:color w:val="auto"/>
          <w:lang w:val="es-NI"/>
        </w:rPr>
      </w:pPr>
      <w:r w:rsidRPr="00CC4A57">
        <w:rPr>
          <w:rFonts w:ascii="Arial" w:hAnsi="Arial" w:cs="Arial"/>
          <w:b/>
          <w:bCs/>
          <w:color w:val="auto"/>
          <w:lang w:val="es-NI"/>
        </w:rPr>
        <w:t>D</w:t>
      </w:r>
      <w:r w:rsidR="00FA714A" w:rsidRPr="00CC4A57">
        <w:rPr>
          <w:rFonts w:ascii="Arial" w:hAnsi="Arial" w:cs="Arial"/>
          <w:b/>
          <w:bCs/>
          <w:color w:val="auto"/>
          <w:lang w:val="es-NI"/>
        </w:rPr>
        <w:t>eterioro e Incobrabilidad de las Inversiones</w:t>
      </w:r>
    </w:p>
    <w:p w:rsidR="006A4FD1" w:rsidRPr="00FD6694" w:rsidRDefault="006A4FD1" w:rsidP="00C3650B">
      <w:pPr>
        <w:pStyle w:val="Textoindependiente"/>
        <w:spacing w:after="0" w:line="240" w:lineRule="auto"/>
        <w:ind w:left="709"/>
        <w:jc w:val="both"/>
        <w:rPr>
          <w:rFonts w:ascii="Arial" w:hAnsi="Arial" w:cs="Arial"/>
          <w:lang w:val="es-NI"/>
        </w:rPr>
      </w:pPr>
      <w:r w:rsidRPr="00FD6694">
        <w:rPr>
          <w:rFonts w:ascii="Arial" w:hAnsi="Arial" w:cs="Arial"/>
          <w:lang w:val="es-NI"/>
        </w:rPr>
        <w:t>El deterioro en el valor de una inversión se determina cuando es probable que una Institución no recupere los importes esperados de la inversión (principal y rendimiento), de acuerdo con las condiciones contractuales.</w:t>
      </w:r>
    </w:p>
    <w:p w:rsidR="00B67BDD" w:rsidRPr="00FD6694" w:rsidRDefault="00B67BDD" w:rsidP="00AB484C">
      <w:pPr>
        <w:pStyle w:val="Textoindependiente"/>
        <w:spacing w:after="0" w:line="240" w:lineRule="auto"/>
        <w:ind w:left="567"/>
        <w:jc w:val="both"/>
        <w:rPr>
          <w:rFonts w:ascii="Arial" w:hAnsi="Arial" w:cs="Arial"/>
          <w:lang w:val="es-NI"/>
        </w:rPr>
      </w:pPr>
    </w:p>
    <w:p w:rsidR="005076C6" w:rsidRPr="00FD6694" w:rsidRDefault="006A4FD1" w:rsidP="00C3650B">
      <w:pPr>
        <w:pStyle w:val="Textoindependiente"/>
        <w:spacing w:after="0" w:line="240" w:lineRule="auto"/>
        <w:ind w:left="709"/>
        <w:jc w:val="both"/>
        <w:rPr>
          <w:rFonts w:ascii="Arial" w:hAnsi="Arial" w:cs="Arial"/>
          <w:lang w:val="es-NI"/>
        </w:rPr>
      </w:pPr>
      <w:r w:rsidRPr="00FD6694">
        <w:rPr>
          <w:rFonts w:ascii="Arial" w:hAnsi="Arial" w:cs="Arial"/>
          <w:lang w:val="es-NI"/>
        </w:rPr>
        <w:lastRenderedPageBreak/>
        <w:t xml:space="preserve">La </w:t>
      </w:r>
      <w:r w:rsidR="009E3A95" w:rsidRPr="00FD6694">
        <w:rPr>
          <w:rFonts w:ascii="Arial" w:hAnsi="Arial" w:cs="Arial"/>
          <w:lang w:val="es-NI"/>
        </w:rPr>
        <w:t>institución</w:t>
      </w:r>
      <w:r w:rsidRPr="00FD6694">
        <w:rPr>
          <w:rFonts w:ascii="Arial" w:hAnsi="Arial" w:cs="Arial"/>
          <w:lang w:val="es-NI"/>
        </w:rPr>
        <w:t xml:space="preserve"> debe evaluar en cada fecha de</w:t>
      </w:r>
      <w:r w:rsidR="00790257">
        <w:rPr>
          <w:rFonts w:ascii="Arial" w:hAnsi="Arial" w:cs="Arial"/>
          <w:lang w:val="es-NI"/>
        </w:rPr>
        <w:t>l estado de situación fina</w:t>
      </w:r>
      <w:r w:rsidR="00C3650B">
        <w:rPr>
          <w:rFonts w:ascii="Arial" w:hAnsi="Arial" w:cs="Arial"/>
          <w:lang w:val="es-NI"/>
        </w:rPr>
        <w:t>n</w:t>
      </w:r>
      <w:r w:rsidR="00790257">
        <w:rPr>
          <w:rFonts w:ascii="Arial" w:hAnsi="Arial" w:cs="Arial"/>
          <w:lang w:val="es-NI"/>
        </w:rPr>
        <w:t>ciera</w:t>
      </w:r>
      <w:r w:rsidRPr="00FD6694">
        <w:rPr>
          <w:rFonts w:ascii="Arial" w:hAnsi="Arial" w:cs="Arial"/>
          <w:lang w:val="es-NI"/>
        </w:rPr>
        <w:t xml:space="preserve"> si existe evidencia objetiva de que un activo fin</w:t>
      </w:r>
      <w:r w:rsidR="00797851">
        <w:rPr>
          <w:rFonts w:ascii="Arial" w:hAnsi="Arial" w:cs="Arial"/>
          <w:lang w:val="es-NI"/>
        </w:rPr>
        <w:t>anciero o un grupo de ellos este</w:t>
      </w:r>
      <w:r w:rsidRPr="00FD6694">
        <w:rPr>
          <w:rFonts w:ascii="Arial" w:hAnsi="Arial" w:cs="Arial"/>
          <w:lang w:val="es-NI"/>
        </w:rPr>
        <w:t xml:space="preserve"> deteriorado en su valor. </w:t>
      </w:r>
    </w:p>
    <w:p w:rsidR="005076C6" w:rsidRPr="00FD6694" w:rsidRDefault="005076C6" w:rsidP="00AB484C">
      <w:pPr>
        <w:pStyle w:val="Textoindependiente"/>
        <w:spacing w:after="0" w:line="240" w:lineRule="auto"/>
        <w:ind w:left="567"/>
        <w:jc w:val="both"/>
        <w:rPr>
          <w:rFonts w:ascii="Arial" w:hAnsi="Arial" w:cs="Arial"/>
          <w:lang w:val="es-NI"/>
        </w:rPr>
      </w:pPr>
    </w:p>
    <w:p w:rsidR="005076C6" w:rsidRPr="00FD6694" w:rsidRDefault="005076C6" w:rsidP="00C3650B">
      <w:pPr>
        <w:pStyle w:val="Textoindependiente"/>
        <w:spacing w:after="0" w:line="240" w:lineRule="auto"/>
        <w:ind w:left="709"/>
        <w:jc w:val="both"/>
        <w:rPr>
          <w:rFonts w:ascii="Arial" w:hAnsi="Arial" w:cs="Arial"/>
          <w:lang w:val="es-NI"/>
        </w:rPr>
      </w:pPr>
      <w:r w:rsidRPr="00FD6694">
        <w:rPr>
          <w:rFonts w:ascii="Arial" w:hAnsi="Arial" w:cs="Arial"/>
          <w:lang w:val="es-NI"/>
        </w:rPr>
        <w:t xml:space="preserve">La evidencia objetiva de que una cartera de inversiones está deteriorada </w:t>
      </w:r>
      <w:proofErr w:type="gramStart"/>
      <w:r w:rsidRPr="00FD6694">
        <w:rPr>
          <w:rFonts w:ascii="Arial" w:hAnsi="Arial" w:cs="Arial"/>
          <w:lang w:val="es-NI"/>
        </w:rPr>
        <w:t>incluye</w:t>
      </w:r>
      <w:proofErr w:type="gramEnd"/>
      <w:r w:rsidRPr="00FD6694">
        <w:rPr>
          <w:rFonts w:ascii="Arial" w:hAnsi="Arial" w:cs="Arial"/>
          <w:lang w:val="es-NI"/>
        </w:rPr>
        <w:t xml:space="preserve"> pero no se limita a:</w:t>
      </w:r>
    </w:p>
    <w:p w:rsidR="005076C6" w:rsidRPr="00FD6694" w:rsidRDefault="005076C6" w:rsidP="00FD6694">
      <w:pPr>
        <w:pStyle w:val="Textoindependiente"/>
        <w:spacing w:after="0" w:line="240" w:lineRule="auto"/>
        <w:ind w:left="1058"/>
        <w:jc w:val="both"/>
        <w:rPr>
          <w:rFonts w:ascii="Arial" w:hAnsi="Arial" w:cs="Arial"/>
          <w:lang w:val="es-NI"/>
        </w:rPr>
      </w:pPr>
    </w:p>
    <w:p w:rsidR="00BE14C8" w:rsidRDefault="005076C6" w:rsidP="005B198E">
      <w:pPr>
        <w:pStyle w:val="Prrafodelista"/>
        <w:numPr>
          <w:ilvl w:val="0"/>
          <w:numId w:val="38"/>
        </w:numPr>
        <w:ind w:left="1276" w:hanging="218"/>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Dificultades financieras significativas del emisor o del obligado;</w:t>
      </w:r>
    </w:p>
    <w:p w:rsidR="00FD6694" w:rsidRPr="00D414FB" w:rsidRDefault="00FD6694" w:rsidP="00FD6694">
      <w:pPr>
        <w:pStyle w:val="Prrafodelista"/>
        <w:ind w:left="1418"/>
        <w:contextualSpacing/>
        <w:jc w:val="both"/>
        <w:rPr>
          <w:rFonts w:ascii="Arial" w:hAnsi="Arial" w:cs="Arial"/>
          <w:color w:val="000000" w:themeColor="text1"/>
          <w:sz w:val="22"/>
          <w:szCs w:val="22"/>
          <w:lang w:val="es-NI"/>
        </w:rPr>
      </w:pPr>
    </w:p>
    <w:p w:rsidR="00FD6694" w:rsidRDefault="005076C6" w:rsidP="005B198E">
      <w:pPr>
        <w:pStyle w:val="Prrafodelista"/>
        <w:numPr>
          <w:ilvl w:val="0"/>
          <w:numId w:val="38"/>
        </w:numPr>
        <w:ind w:left="1276" w:hanging="218"/>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Incumplimientos de las cláusulas contractuales, tales como impagos o retrasos en el pago de los intereses o el principal;</w:t>
      </w:r>
      <w:r w:rsidR="00BE14C8" w:rsidRPr="00D414FB">
        <w:rPr>
          <w:rFonts w:ascii="Arial" w:hAnsi="Arial" w:cs="Arial"/>
          <w:color w:val="000000" w:themeColor="text1"/>
          <w:sz w:val="22"/>
          <w:szCs w:val="22"/>
          <w:lang w:val="es-NI"/>
        </w:rPr>
        <w:t xml:space="preserve"> </w:t>
      </w:r>
    </w:p>
    <w:p w:rsidR="00FD6694" w:rsidRPr="00FD6694" w:rsidRDefault="00FD6694" w:rsidP="00FD6694">
      <w:pPr>
        <w:spacing w:after="0"/>
        <w:contextualSpacing/>
        <w:jc w:val="both"/>
        <w:rPr>
          <w:rFonts w:ascii="Arial" w:hAnsi="Arial" w:cs="Arial"/>
          <w:color w:val="000000" w:themeColor="text1"/>
          <w:lang w:val="es-NI"/>
        </w:rPr>
      </w:pPr>
    </w:p>
    <w:p w:rsidR="00FD6694" w:rsidRDefault="005076C6" w:rsidP="005B198E">
      <w:pPr>
        <w:pStyle w:val="Prrafodelista"/>
        <w:numPr>
          <w:ilvl w:val="0"/>
          <w:numId w:val="38"/>
        </w:numPr>
        <w:ind w:left="1276" w:hanging="218"/>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El inversionista por razones económicas o legales relacionadas con dificultades financieras del emisor, otorga concesiones o ventajas que no hubiera realizado</w:t>
      </w:r>
      <w:r w:rsidR="00610570">
        <w:rPr>
          <w:rFonts w:ascii="Arial" w:hAnsi="Arial" w:cs="Arial"/>
          <w:color w:val="000000" w:themeColor="text1"/>
          <w:sz w:val="22"/>
          <w:szCs w:val="22"/>
          <w:lang w:val="es-NI"/>
        </w:rPr>
        <w:t xml:space="preserve"> en condic</w:t>
      </w:r>
      <w:r w:rsidR="0090585C">
        <w:rPr>
          <w:rFonts w:ascii="Arial" w:hAnsi="Arial" w:cs="Arial"/>
          <w:color w:val="000000" w:themeColor="text1"/>
          <w:sz w:val="22"/>
          <w:szCs w:val="22"/>
          <w:lang w:val="es-NI"/>
        </w:rPr>
        <w:t>i</w:t>
      </w:r>
      <w:r w:rsidR="00610570">
        <w:rPr>
          <w:rFonts w:ascii="Arial" w:hAnsi="Arial" w:cs="Arial"/>
          <w:color w:val="000000" w:themeColor="text1"/>
          <w:sz w:val="22"/>
          <w:szCs w:val="22"/>
          <w:lang w:val="es-NI"/>
        </w:rPr>
        <w:t>ones normales</w:t>
      </w:r>
      <w:r w:rsidRPr="00D414FB">
        <w:rPr>
          <w:rFonts w:ascii="Arial" w:hAnsi="Arial" w:cs="Arial"/>
          <w:color w:val="000000" w:themeColor="text1"/>
          <w:sz w:val="22"/>
          <w:szCs w:val="22"/>
          <w:lang w:val="es-NI"/>
        </w:rPr>
        <w:t>;</w:t>
      </w:r>
    </w:p>
    <w:p w:rsidR="00FD6694" w:rsidRPr="00FD6694" w:rsidRDefault="00FD6694" w:rsidP="005B198E">
      <w:pPr>
        <w:spacing w:after="0"/>
        <w:ind w:left="1276" w:hanging="218"/>
        <w:contextualSpacing/>
        <w:jc w:val="both"/>
        <w:rPr>
          <w:rFonts w:ascii="Arial" w:hAnsi="Arial" w:cs="Arial"/>
          <w:color w:val="000000" w:themeColor="text1"/>
          <w:lang w:val="es-NI"/>
        </w:rPr>
      </w:pPr>
    </w:p>
    <w:p w:rsidR="005076C6" w:rsidRDefault="005076C6" w:rsidP="005B198E">
      <w:pPr>
        <w:pStyle w:val="Prrafodelista"/>
        <w:numPr>
          <w:ilvl w:val="0"/>
          <w:numId w:val="38"/>
        </w:numPr>
        <w:ind w:left="1276" w:hanging="218"/>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Sea cada vez más probable que el emisor entre en una situación concursal o en cualquier otra situación de reorganización financiera;</w:t>
      </w:r>
    </w:p>
    <w:p w:rsidR="00FD6694" w:rsidRPr="00FD6694" w:rsidRDefault="00FD6694" w:rsidP="005B198E">
      <w:pPr>
        <w:spacing w:after="0"/>
        <w:ind w:left="1276" w:hanging="218"/>
        <w:contextualSpacing/>
        <w:jc w:val="both"/>
        <w:rPr>
          <w:rFonts w:ascii="Arial" w:hAnsi="Arial" w:cs="Arial"/>
          <w:color w:val="000000" w:themeColor="text1"/>
          <w:lang w:val="es-NI"/>
        </w:rPr>
      </w:pPr>
    </w:p>
    <w:p w:rsidR="005076C6" w:rsidRPr="00D414FB" w:rsidRDefault="005076C6" w:rsidP="005B198E">
      <w:pPr>
        <w:pStyle w:val="Prrafodelista"/>
        <w:numPr>
          <w:ilvl w:val="0"/>
          <w:numId w:val="38"/>
        </w:numPr>
        <w:ind w:left="1276" w:hanging="218"/>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La desaparición de un mercado activo para el activo financiero en cuestión, de</w:t>
      </w:r>
      <w:r w:rsidR="005B198E">
        <w:rPr>
          <w:rFonts w:ascii="Arial" w:hAnsi="Arial" w:cs="Arial"/>
          <w:color w:val="000000" w:themeColor="text1"/>
          <w:sz w:val="22"/>
          <w:szCs w:val="22"/>
          <w:lang w:val="es-NI"/>
        </w:rPr>
        <w:t>bido a dificultades financieras.</w:t>
      </w:r>
    </w:p>
    <w:p w:rsidR="005076C6" w:rsidRPr="00D414FB" w:rsidRDefault="005076C6" w:rsidP="00FD6694">
      <w:pPr>
        <w:tabs>
          <w:tab w:val="left" w:pos="-720"/>
          <w:tab w:val="left" w:pos="0"/>
          <w:tab w:val="left" w:pos="1080"/>
          <w:tab w:val="left" w:pos="1440"/>
        </w:tabs>
        <w:suppressAutoHyphens/>
        <w:spacing w:after="0" w:line="240" w:lineRule="auto"/>
        <w:ind w:left="544"/>
        <w:jc w:val="both"/>
        <w:rPr>
          <w:rFonts w:ascii="Arial" w:hAnsi="Arial" w:cs="Arial"/>
          <w:bCs/>
          <w:lang w:val="es-NI"/>
        </w:rPr>
      </w:pPr>
    </w:p>
    <w:p w:rsidR="006A4FD1" w:rsidRPr="00D414FB" w:rsidRDefault="006A4FD1" w:rsidP="005B198E">
      <w:pPr>
        <w:tabs>
          <w:tab w:val="left" w:pos="-720"/>
          <w:tab w:val="left" w:pos="0"/>
          <w:tab w:val="left" w:pos="567"/>
          <w:tab w:val="left" w:pos="709"/>
          <w:tab w:val="left" w:pos="1440"/>
        </w:tabs>
        <w:suppressAutoHyphens/>
        <w:spacing w:after="0" w:line="240" w:lineRule="auto"/>
        <w:ind w:left="709"/>
        <w:jc w:val="both"/>
        <w:rPr>
          <w:rFonts w:ascii="Arial" w:hAnsi="Arial" w:cs="Arial"/>
          <w:bCs/>
          <w:lang w:val="es-NI"/>
        </w:rPr>
      </w:pPr>
      <w:r w:rsidRPr="00D414FB">
        <w:rPr>
          <w:rFonts w:ascii="Arial" w:hAnsi="Arial" w:cs="Arial"/>
          <w:bCs/>
          <w:lang w:val="es-NI"/>
        </w:rPr>
        <w:t xml:space="preserve">Si tal evidencia existiese, la </w:t>
      </w:r>
      <w:r w:rsidR="009E3A95" w:rsidRPr="00D414FB">
        <w:rPr>
          <w:rFonts w:ascii="Arial" w:hAnsi="Arial" w:cs="Arial"/>
          <w:bCs/>
          <w:lang w:val="es-NI"/>
        </w:rPr>
        <w:t>institución</w:t>
      </w:r>
      <w:r w:rsidRPr="00D414FB">
        <w:rPr>
          <w:rFonts w:ascii="Arial" w:hAnsi="Arial" w:cs="Arial"/>
          <w:bCs/>
          <w:lang w:val="es-NI"/>
        </w:rPr>
        <w:t xml:space="preserve"> determinará el importe de cualquier pérdida por deterioro del valor conforme a los siguientes criterios:</w:t>
      </w:r>
    </w:p>
    <w:p w:rsidR="006A4FD1" w:rsidRPr="00D414FB" w:rsidRDefault="006A4FD1" w:rsidP="00AB484C">
      <w:pPr>
        <w:tabs>
          <w:tab w:val="left" w:pos="-720"/>
          <w:tab w:val="left" w:pos="0"/>
          <w:tab w:val="left" w:pos="567"/>
          <w:tab w:val="left" w:pos="1080"/>
          <w:tab w:val="left" w:pos="1440"/>
        </w:tabs>
        <w:suppressAutoHyphens/>
        <w:spacing w:after="0" w:line="240" w:lineRule="atLeast"/>
        <w:ind w:left="567"/>
        <w:jc w:val="both"/>
        <w:rPr>
          <w:rFonts w:ascii="Arial" w:hAnsi="Arial" w:cs="Arial"/>
          <w:bCs/>
          <w:lang w:val="es-NI"/>
        </w:rPr>
      </w:pPr>
    </w:p>
    <w:p w:rsidR="006A4FD1" w:rsidRPr="00714E78" w:rsidRDefault="006A4FD1" w:rsidP="005B198E">
      <w:pPr>
        <w:pStyle w:val="Prrafodelista"/>
        <w:numPr>
          <w:ilvl w:val="0"/>
          <w:numId w:val="39"/>
        </w:numPr>
        <w:ind w:left="1276" w:hanging="283"/>
        <w:contextualSpacing/>
        <w:jc w:val="both"/>
        <w:rPr>
          <w:rFonts w:ascii="Arial" w:hAnsi="Arial" w:cs="Arial"/>
          <w:b/>
          <w:bCs/>
          <w:sz w:val="22"/>
          <w:szCs w:val="22"/>
          <w:lang w:val="es-NI"/>
        </w:rPr>
      </w:pPr>
      <w:r w:rsidRPr="00714E78">
        <w:rPr>
          <w:rFonts w:ascii="Arial" w:hAnsi="Arial" w:cs="Arial"/>
          <w:b/>
          <w:bCs/>
          <w:sz w:val="22"/>
          <w:szCs w:val="22"/>
          <w:lang w:val="es-NI"/>
        </w:rPr>
        <w:t xml:space="preserve">Inversiones </w:t>
      </w:r>
      <w:r w:rsidR="00E82998" w:rsidRPr="00714E78">
        <w:rPr>
          <w:rFonts w:ascii="Arial" w:hAnsi="Arial" w:cs="Arial"/>
          <w:b/>
          <w:bCs/>
          <w:sz w:val="22"/>
          <w:szCs w:val="22"/>
          <w:lang w:val="es-NI"/>
        </w:rPr>
        <w:t>a valor razonable con cambios en otro resultado integral</w:t>
      </w:r>
    </w:p>
    <w:p w:rsidR="00714E78" w:rsidRPr="00714E78" w:rsidRDefault="00714E78" w:rsidP="00714E78">
      <w:pPr>
        <w:pStyle w:val="Prrafodelista"/>
        <w:tabs>
          <w:tab w:val="left" w:pos="-720"/>
          <w:tab w:val="left" w:pos="0"/>
          <w:tab w:val="left" w:pos="1080"/>
          <w:tab w:val="left" w:pos="1440"/>
        </w:tabs>
        <w:suppressAutoHyphens/>
        <w:spacing w:line="240" w:lineRule="atLeast"/>
        <w:ind w:left="1418"/>
        <w:jc w:val="both"/>
        <w:rPr>
          <w:rFonts w:ascii="Arial" w:hAnsi="Arial" w:cs="Arial"/>
          <w:b/>
          <w:bCs/>
          <w:sz w:val="22"/>
          <w:szCs w:val="22"/>
          <w:lang w:val="es-NI"/>
        </w:rPr>
      </w:pPr>
    </w:p>
    <w:p w:rsidR="00CA462B" w:rsidRPr="00D414FB" w:rsidRDefault="006A4FD1" w:rsidP="005B198E">
      <w:pPr>
        <w:tabs>
          <w:tab w:val="left" w:pos="-720"/>
          <w:tab w:val="left" w:pos="0"/>
          <w:tab w:val="left" w:pos="1440"/>
        </w:tabs>
        <w:suppressAutoHyphens/>
        <w:spacing w:line="240" w:lineRule="atLeast"/>
        <w:ind w:left="709"/>
        <w:jc w:val="both"/>
        <w:rPr>
          <w:rFonts w:ascii="Arial" w:hAnsi="Arial" w:cs="Arial"/>
          <w:color w:val="000000" w:themeColor="text1"/>
          <w:lang w:val="es-NI"/>
        </w:rPr>
      </w:pPr>
      <w:r w:rsidRPr="00D414FB">
        <w:rPr>
          <w:rFonts w:ascii="Arial" w:hAnsi="Arial" w:cs="Arial"/>
          <w:bCs/>
          <w:lang w:val="es-NI"/>
        </w:rPr>
        <w:t>Las disminuciones en el valor</w:t>
      </w:r>
      <w:r w:rsidR="00D54F91" w:rsidRPr="00D414FB">
        <w:rPr>
          <w:rFonts w:ascii="Arial" w:hAnsi="Arial" w:cs="Arial"/>
          <w:bCs/>
          <w:lang w:val="es-NI"/>
        </w:rPr>
        <w:t xml:space="preserve"> razonable</w:t>
      </w:r>
      <w:r w:rsidR="00C6475F" w:rsidRPr="00D414FB">
        <w:rPr>
          <w:rFonts w:ascii="Arial" w:hAnsi="Arial" w:cs="Arial"/>
          <w:bCs/>
          <w:lang w:val="es-NI"/>
        </w:rPr>
        <w:t>,</w:t>
      </w:r>
      <w:r w:rsidRPr="00D414FB">
        <w:rPr>
          <w:rFonts w:ascii="Arial" w:hAnsi="Arial" w:cs="Arial"/>
          <w:bCs/>
          <w:lang w:val="es-NI"/>
        </w:rPr>
        <w:t xml:space="preserve"> </w:t>
      </w:r>
      <w:r w:rsidR="00C6475F" w:rsidRPr="00D414FB">
        <w:rPr>
          <w:rFonts w:ascii="Arial" w:hAnsi="Arial" w:cs="Arial"/>
          <w:bCs/>
          <w:lang w:val="es-NI"/>
        </w:rPr>
        <w:t xml:space="preserve">como resultado de un deterioro en su valor, </w:t>
      </w:r>
      <w:r w:rsidRPr="00D414FB">
        <w:rPr>
          <w:rFonts w:ascii="Arial" w:hAnsi="Arial" w:cs="Arial"/>
          <w:bCs/>
          <w:lang w:val="es-NI"/>
        </w:rPr>
        <w:t>se reconocerá en la cuenta correspondiente de</w:t>
      </w:r>
      <w:r w:rsidR="00E62D4E" w:rsidRPr="00D414FB">
        <w:rPr>
          <w:rFonts w:ascii="Arial" w:hAnsi="Arial" w:cs="Arial"/>
          <w:bCs/>
          <w:lang w:val="es-NI"/>
        </w:rPr>
        <w:t>l</w:t>
      </w:r>
      <w:r w:rsidR="00BD5D79" w:rsidRPr="00D414FB">
        <w:rPr>
          <w:rFonts w:ascii="Arial" w:hAnsi="Arial" w:cs="Arial"/>
          <w:bCs/>
          <w:lang w:val="es-NI"/>
        </w:rPr>
        <w:t xml:space="preserve"> otro resultado integral</w:t>
      </w:r>
      <w:r w:rsidR="00C6475F" w:rsidRPr="00D414FB">
        <w:rPr>
          <w:rFonts w:ascii="Arial" w:hAnsi="Arial" w:cs="Arial"/>
          <w:bCs/>
          <w:lang w:val="es-NI"/>
        </w:rPr>
        <w:t xml:space="preserve"> contra la cuenta de gastos en resultados</w:t>
      </w:r>
      <w:r w:rsidR="00BD5D79" w:rsidRPr="00D414FB">
        <w:rPr>
          <w:rFonts w:ascii="Arial" w:hAnsi="Arial" w:cs="Arial"/>
          <w:bCs/>
          <w:lang w:val="es-NI"/>
        </w:rPr>
        <w:t>.</w:t>
      </w:r>
      <w:r w:rsidR="006C7A3A" w:rsidRPr="00D414FB">
        <w:rPr>
          <w:rFonts w:ascii="Arial" w:hAnsi="Arial" w:cs="Arial"/>
          <w:bCs/>
          <w:lang w:val="es-NI"/>
        </w:rPr>
        <w:t xml:space="preserve"> </w:t>
      </w:r>
      <w:r w:rsidR="00CA462B" w:rsidRPr="00D414FB">
        <w:rPr>
          <w:rFonts w:ascii="Arial" w:hAnsi="Arial" w:cs="Arial"/>
          <w:color w:val="000000" w:themeColor="text1"/>
          <w:lang w:val="es-NI"/>
        </w:rPr>
        <w:t>Las ganancias y pérdidas por deterioro del valor no aumentarán ni disminuirán el importe en libros del activo financiero.</w:t>
      </w:r>
    </w:p>
    <w:p w:rsidR="006A4FD1" w:rsidRPr="00D414FB" w:rsidRDefault="006A4FD1" w:rsidP="005B198E">
      <w:pPr>
        <w:tabs>
          <w:tab w:val="left" w:pos="-720"/>
          <w:tab w:val="left" w:pos="0"/>
          <w:tab w:val="left" w:pos="1440"/>
        </w:tabs>
        <w:suppressAutoHyphens/>
        <w:spacing w:line="240" w:lineRule="atLeast"/>
        <w:ind w:left="709"/>
        <w:jc w:val="both"/>
        <w:rPr>
          <w:rFonts w:ascii="Arial" w:hAnsi="Arial" w:cs="Arial"/>
          <w:bCs/>
          <w:lang w:val="es-NI"/>
        </w:rPr>
      </w:pPr>
      <w:r w:rsidRPr="00D414FB">
        <w:rPr>
          <w:rFonts w:ascii="Arial" w:hAnsi="Arial" w:cs="Arial"/>
          <w:bCs/>
          <w:lang w:val="es-NI"/>
        </w:rPr>
        <w:t>Los gastos constituidos por una disminución en el valor</w:t>
      </w:r>
      <w:r w:rsidR="00D54F91" w:rsidRPr="00D414FB">
        <w:rPr>
          <w:rFonts w:ascii="Arial" w:hAnsi="Arial" w:cs="Arial"/>
          <w:bCs/>
          <w:lang w:val="es-NI"/>
        </w:rPr>
        <w:t xml:space="preserve"> razonable</w:t>
      </w:r>
      <w:r w:rsidRPr="00D414FB">
        <w:rPr>
          <w:rFonts w:ascii="Arial" w:hAnsi="Arial" w:cs="Arial"/>
          <w:bCs/>
          <w:lang w:val="es-NI"/>
        </w:rPr>
        <w:t>,</w:t>
      </w:r>
      <w:r w:rsidR="003315AB" w:rsidRPr="00D414FB">
        <w:rPr>
          <w:rFonts w:ascii="Arial" w:hAnsi="Arial" w:cs="Arial"/>
          <w:bCs/>
          <w:lang w:val="es-NI"/>
        </w:rPr>
        <w:t xml:space="preserve"> </w:t>
      </w:r>
      <w:r w:rsidRPr="00D414FB">
        <w:rPr>
          <w:rFonts w:ascii="Arial" w:hAnsi="Arial" w:cs="Arial"/>
          <w:bCs/>
          <w:lang w:val="es-NI"/>
        </w:rPr>
        <w:t xml:space="preserve">contabilizadas previamente en el </w:t>
      </w:r>
      <w:r w:rsidR="006D520C" w:rsidRPr="00D414FB">
        <w:rPr>
          <w:rFonts w:ascii="Arial" w:hAnsi="Arial" w:cs="Arial"/>
          <w:bCs/>
          <w:lang w:val="es-NI"/>
        </w:rPr>
        <w:t>otro resultado integral</w:t>
      </w:r>
      <w:r w:rsidRPr="00D414FB">
        <w:rPr>
          <w:rFonts w:ascii="Arial" w:hAnsi="Arial" w:cs="Arial"/>
          <w:bCs/>
          <w:lang w:val="es-NI"/>
        </w:rPr>
        <w:t xml:space="preserve">, se eliminarán del mismo y se reconocerán en los resultados del período cuando exista evidencia objetiva de que el activo ha sufrido deterioro, aunque el activo financiero no haya sido dado de baja en el </w:t>
      </w:r>
      <w:r w:rsidR="000A5049" w:rsidRPr="00D414FB">
        <w:rPr>
          <w:rFonts w:ascii="Arial" w:hAnsi="Arial" w:cs="Arial"/>
          <w:bCs/>
          <w:lang w:val="es-NI"/>
        </w:rPr>
        <w:t>estado de situación financiera</w:t>
      </w:r>
      <w:r w:rsidRPr="00D414FB">
        <w:rPr>
          <w:rFonts w:ascii="Arial" w:hAnsi="Arial" w:cs="Arial"/>
          <w:bCs/>
          <w:lang w:val="es-NI"/>
        </w:rPr>
        <w:t>.</w:t>
      </w:r>
    </w:p>
    <w:p w:rsidR="006A4FD1" w:rsidRPr="00D414FB" w:rsidRDefault="006A4FD1" w:rsidP="005B198E">
      <w:pPr>
        <w:tabs>
          <w:tab w:val="left" w:pos="-720"/>
          <w:tab w:val="left" w:pos="0"/>
          <w:tab w:val="left" w:pos="1440"/>
        </w:tabs>
        <w:suppressAutoHyphens/>
        <w:spacing w:line="240" w:lineRule="atLeast"/>
        <w:ind w:left="709"/>
        <w:jc w:val="both"/>
        <w:rPr>
          <w:rFonts w:ascii="Arial" w:hAnsi="Arial" w:cs="Arial"/>
          <w:bCs/>
          <w:lang w:val="es-NI"/>
        </w:rPr>
      </w:pPr>
      <w:r w:rsidRPr="00D414FB">
        <w:rPr>
          <w:rFonts w:ascii="Arial" w:hAnsi="Arial" w:cs="Arial"/>
          <w:bCs/>
          <w:lang w:val="es-NI"/>
        </w:rPr>
        <w:t>El importe de la pérdida acumulada</w:t>
      </w:r>
      <w:r w:rsidR="00312D68" w:rsidRPr="00D414FB">
        <w:rPr>
          <w:rFonts w:ascii="Arial" w:hAnsi="Arial" w:cs="Arial"/>
          <w:bCs/>
          <w:lang w:val="es-NI"/>
        </w:rPr>
        <w:t xml:space="preserve"> por valoración </w:t>
      </w:r>
      <w:r w:rsidRPr="00D414FB">
        <w:rPr>
          <w:rFonts w:ascii="Arial" w:hAnsi="Arial" w:cs="Arial"/>
          <w:bCs/>
          <w:lang w:val="es-NI"/>
        </w:rPr>
        <w:t>que haya sido eliminado del</w:t>
      </w:r>
      <w:r w:rsidR="006C7A3A" w:rsidRPr="00D414FB">
        <w:rPr>
          <w:rFonts w:ascii="Arial" w:hAnsi="Arial" w:cs="Arial"/>
          <w:bCs/>
          <w:lang w:val="es-NI"/>
        </w:rPr>
        <w:t xml:space="preserve"> otro resultado integral</w:t>
      </w:r>
      <w:r w:rsidRPr="00D414FB">
        <w:rPr>
          <w:rFonts w:ascii="Arial" w:hAnsi="Arial" w:cs="Arial"/>
          <w:bCs/>
          <w:lang w:val="es-NI"/>
        </w:rPr>
        <w:t xml:space="preserve"> y reconocido en el resultado del periodo, según lo dispuesto en el párrafo anterior,</w:t>
      </w:r>
      <w:r w:rsidR="00D54F91" w:rsidRPr="00D414FB">
        <w:rPr>
          <w:rFonts w:ascii="Arial" w:hAnsi="Arial" w:cs="Arial"/>
          <w:bCs/>
          <w:lang w:val="es-NI"/>
        </w:rPr>
        <w:t xml:space="preserve"> </w:t>
      </w:r>
      <w:r w:rsidRPr="00D414FB">
        <w:rPr>
          <w:rFonts w:ascii="Arial" w:hAnsi="Arial" w:cs="Arial"/>
          <w:bCs/>
          <w:lang w:val="es-NI"/>
        </w:rPr>
        <w:t xml:space="preserve">será la diferencia entre el costo de adquisición (neto de cualquier reembolso del principal o amortización del mismo) y el valor </w:t>
      </w:r>
      <w:r w:rsidR="003F2B20" w:rsidRPr="00D414FB">
        <w:rPr>
          <w:rFonts w:ascii="Arial" w:hAnsi="Arial" w:cs="Arial"/>
          <w:bCs/>
          <w:lang w:val="es-NI"/>
        </w:rPr>
        <w:t xml:space="preserve">razonable </w:t>
      </w:r>
      <w:r w:rsidRPr="00D414FB">
        <w:rPr>
          <w:rFonts w:ascii="Arial" w:hAnsi="Arial" w:cs="Arial"/>
          <w:bCs/>
          <w:lang w:val="es-NI"/>
        </w:rPr>
        <w:t>actual, menos cualquier pérdida por deterioro del valor de ese activo financiero previamente reconocida en el resultado del período.</w:t>
      </w:r>
    </w:p>
    <w:p w:rsidR="008C5CA0" w:rsidRPr="00D414FB" w:rsidRDefault="008C5CA0" w:rsidP="005B198E">
      <w:pPr>
        <w:pStyle w:val="Prrafodelista"/>
        <w:ind w:left="709"/>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Posterior al reconocimiento de la pérdida por deterioro, los ingresos por rendimientos se reconocerán utilizando una nueva tasa de interés efectivo, para lo cual debe estimar los flujos futuros para determinarla.</w:t>
      </w:r>
    </w:p>
    <w:p w:rsidR="008C5CA0" w:rsidRPr="00D414FB" w:rsidRDefault="008C5CA0" w:rsidP="005B198E">
      <w:pPr>
        <w:tabs>
          <w:tab w:val="left" w:pos="-720"/>
          <w:tab w:val="left" w:pos="0"/>
          <w:tab w:val="left" w:pos="1080"/>
          <w:tab w:val="left" w:pos="1440"/>
        </w:tabs>
        <w:suppressAutoHyphens/>
        <w:spacing w:after="0" w:line="240" w:lineRule="auto"/>
        <w:ind w:left="709"/>
        <w:jc w:val="both"/>
        <w:rPr>
          <w:rFonts w:ascii="Arial" w:hAnsi="Arial" w:cs="Arial"/>
          <w:bCs/>
          <w:lang w:val="es-NI"/>
        </w:rPr>
      </w:pPr>
    </w:p>
    <w:p w:rsidR="006A4FD1" w:rsidRPr="00D414FB" w:rsidRDefault="006A4FD1" w:rsidP="005B198E">
      <w:pPr>
        <w:tabs>
          <w:tab w:val="left" w:pos="-720"/>
          <w:tab w:val="left" w:pos="0"/>
          <w:tab w:val="left" w:pos="1440"/>
        </w:tabs>
        <w:suppressAutoHyphens/>
        <w:spacing w:after="0" w:line="240" w:lineRule="auto"/>
        <w:ind w:left="709"/>
        <w:jc w:val="both"/>
        <w:rPr>
          <w:rFonts w:ascii="Arial" w:hAnsi="Arial" w:cs="Arial"/>
          <w:bCs/>
          <w:lang w:val="es-NI"/>
        </w:rPr>
      </w:pPr>
      <w:r w:rsidRPr="00D414FB">
        <w:rPr>
          <w:rFonts w:ascii="Arial" w:hAnsi="Arial" w:cs="Arial"/>
          <w:bCs/>
          <w:lang w:val="es-NI"/>
        </w:rPr>
        <w:t xml:space="preserve">Si en períodos posteriores al reconocimiento de la pérdida por deterioro del valor, ésta disminuyera a causa de, entre otras razones, una mejoría en la calificación crediticia del emisor, la pérdida por deterioro reconocida previamente será revertida directamente de la subcuenta de </w:t>
      </w:r>
      <w:r w:rsidR="00623B94" w:rsidRPr="00D414FB">
        <w:rPr>
          <w:rFonts w:ascii="Arial" w:hAnsi="Arial" w:cs="Arial"/>
          <w:bCs/>
          <w:lang w:val="es-NI"/>
        </w:rPr>
        <w:t>estado de situación financiera</w:t>
      </w:r>
      <w:r w:rsidRPr="00D414FB">
        <w:rPr>
          <w:rFonts w:ascii="Arial" w:hAnsi="Arial" w:cs="Arial"/>
          <w:bCs/>
          <w:lang w:val="es-NI"/>
        </w:rPr>
        <w:t xml:space="preserve"> en donde fue contabilizada. El importe de la reversión se reconocerá en el resultado del período.</w:t>
      </w:r>
    </w:p>
    <w:p w:rsidR="00BE5335" w:rsidRPr="00D414FB" w:rsidRDefault="00BE5335" w:rsidP="005B198E">
      <w:pPr>
        <w:pStyle w:val="Nachovieta"/>
        <w:numPr>
          <w:ilvl w:val="0"/>
          <w:numId w:val="0"/>
        </w:numPr>
        <w:ind w:left="709"/>
        <w:rPr>
          <w:rFonts w:ascii="Arial" w:hAnsi="Arial" w:cs="Arial"/>
          <w:bCs/>
          <w:sz w:val="22"/>
          <w:szCs w:val="22"/>
          <w:lang w:val="es-NI"/>
        </w:rPr>
      </w:pPr>
    </w:p>
    <w:p w:rsidR="006A4FD1" w:rsidRDefault="006A4FD1" w:rsidP="005B198E">
      <w:pPr>
        <w:pStyle w:val="Prrafodelista"/>
        <w:numPr>
          <w:ilvl w:val="0"/>
          <w:numId w:val="39"/>
        </w:numPr>
        <w:ind w:left="1276" w:hanging="218"/>
        <w:contextualSpacing/>
        <w:jc w:val="both"/>
        <w:rPr>
          <w:rFonts w:ascii="Arial" w:hAnsi="Arial" w:cs="Arial"/>
          <w:b/>
          <w:bCs/>
          <w:sz w:val="22"/>
          <w:szCs w:val="22"/>
          <w:lang w:val="es-NI"/>
        </w:rPr>
      </w:pPr>
      <w:r w:rsidRPr="00C479C7">
        <w:rPr>
          <w:rFonts w:ascii="Arial" w:hAnsi="Arial" w:cs="Arial"/>
          <w:b/>
          <w:bCs/>
          <w:sz w:val="22"/>
          <w:szCs w:val="22"/>
          <w:lang w:val="es-NI"/>
        </w:rPr>
        <w:t xml:space="preserve">Inversiones </w:t>
      </w:r>
      <w:r w:rsidR="00DD02B8" w:rsidRPr="00C479C7">
        <w:rPr>
          <w:rFonts w:ascii="Arial" w:hAnsi="Arial" w:cs="Arial"/>
          <w:b/>
          <w:bCs/>
          <w:sz w:val="22"/>
          <w:szCs w:val="22"/>
          <w:lang w:val="es-NI"/>
        </w:rPr>
        <w:t>a costo amortizado</w:t>
      </w:r>
    </w:p>
    <w:p w:rsidR="00E857E3" w:rsidRPr="00C479C7" w:rsidRDefault="00E857E3" w:rsidP="00E857E3">
      <w:pPr>
        <w:pStyle w:val="Prrafodelista"/>
        <w:ind w:left="1418"/>
        <w:contextualSpacing/>
        <w:jc w:val="both"/>
        <w:rPr>
          <w:rFonts w:ascii="Arial" w:hAnsi="Arial" w:cs="Arial"/>
          <w:b/>
          <w:bCs/>
          <w:sz w:val="22"/>
          <w:szCs w:val="22"/>
          <w:lang w:val="es-NI"/>
        </w:rPr>
      </w:pPr>
    </w:p>
    <w:p w:rsidR="006A4FD1" w:rsidRPr="00D414FB" w:rsidRDefault="006A4FD1" w:rsidP="005B198E">
      <w:pPr>
        <w:tabs>
          <w:tab w:val="left" w:pos="-720"/>
          <w:tab w:val="left" w:pos="0"/>
          <w:tab w:val="left" w:pos="1440"/>
        </w:tabs>
        <w:suppressAutoHyphens/>
        <w:spacing w:line="240" w:lineRule="atLeast"/>
        <w:ind w:left="709"/>
        <w:jc w:val="both"/>
        <w:rPr>
          <w:rFonts w:ascii="Arial" w:hAnsi="Arial" w:cs="Arial"/>
          <w:bCs/>
          <w:lang w:val="es-NI"/>
        </w:rPr>
      </w:pPr>
      <w:r w:rsidRPr="00D414FB">
        <w:rPr>
          <w:rFonts w:ascii="Arial" w:hAnsi="Arial" w:cs="Arial"/>
          <w:bCs/>
          <w:lang w:val="es-NI"/>
        </w:rPr>
        <w:t xml:space="preserve">Cuando exista evidencia objetiva de que se ha incurrido en una pérdida por deterioro del valor de los </w:t>
      </w:r>
      <w:r w:rsidR="00460D77" w:rsidRPr="00D414FB">
        <w:rPr>
          <w:rFonts w:ascii="Arial" w:hAnsi="Arial" w:cs="Arial"/>
          <w:bCs/>
          <w:lang w:val="es-NI"/>
        </w:rPr>
        <w:t>instrumentos</w:t>
      </w:r>
      <w:r w:rsidRPr="00D414FB">
        <w:rPr>
          <w:rFonts w:ascii="Arial" w:hAnsi="Arial" w:cs="Arial"/>
          <w:bCs/>
          <w:lang w:val="es-NI"/>
        </w:rPr>
        <w:t xml:space="preserve"> c</w:t>
      </w:r>
      <w:r w:rsidR="00DD02B8" w:rsidRPr="00D414FB">
        <w:rPr>
          <w:rFonts w:ascii="Arial" w:hAnsi="Arial" w:cs="Arial"/>
          <w:bCs/>
          <w:lang w:val="es-NI"/>
        </w:rPr>
        <w:t xml:space="preserve">lasificados </w:t>
      </w:r>
      <w:r w:rsidR="00B701A7" w:rsidRPr="00D414FB">
        <w:rPr>
          <w:rFonts w:ascii="Arial" w:hAnsi="Arial" w:cs="Arial"/>
          <w:bCs/>
          <w:lang w:val="es-NI"/>
        </w:rPr>
        <w:t>a Costo Amortizado</w:t>
      </w:r>
      <w:r w:rsidRPr="00D414FB">
        <w:rPr>
          <w:rFonts w:ascii="Arial" w:hAnsi="Arial" w:cs="Arial"/>
          <w:bCs/>
          <w:lang w:val="es-NI"/>
        </w:rPr>
        <w:t>, el importe de la pérdida se medirá como la diferencia entre el importe en libros del activo y el valor presente de los flujos de efectivo futuros estimados (excluyendo las pérdidas crediticias futuras en las que no se haya incurrido), descontados con la tasa de interés efectiva original de la inversión.</w:t>
      </w:r>
      <w:r w:rsidR="00B701A7" w:rsidRPr="00D414FB">
        <w:rPr>
          <w:rFonts w:ascii="Arial" w:hAnsi="Arial" w:cs="Arial"/>
          <w:bCs/>
          <w:lang w:val="es-NI"/>
        </w:rPr>
        <w:t xml:space="preserve"> </w:t>
      </w:r>
      <w:r w:rsidRPr="00D414FB">
        <w:rPr>
          <w:rFonts w:ascii="Arial" w:hAnsi="Arial" w:cs="Arial"/>
          <w:bCs/>
          <w:lang w:val="es-NI"/>
        </w:rPr>
        <w:t xml:space="preserve">El importe de la pérdida se reconocerá </w:t>
      </w:r>
      <w:r w:rsidR="00B701A7" w:rsidRPr="00D414FB">
        <w:rPr>
          <w:rFonts w:ascii="Arial" w:hAnsi="Arial" w:cs="Arial"/>
          <w:bCs/>
          <w:lang w:val="es-NI"/>
        </w:rPr>
        <w:t>en cuenta complementaria del activo contra la cuenta de gastos en resultados</w:t>
      </w:r>
      <w:r w:rsidRPr="00D414FB">
        <w:rPr>
          <w:rFonts w:ascii="Arial" w:hAnsi="Arial" w:cs="Arial"/>
          <w:bCs/>
          <w:lang w:val="es-NI"/>
        </w:rPr>
        <w:t xml:space="preserve">. </w:t>
      </w:r>
    </w:p>
    <w:p w:rsidR="00A34B32" w:rsidRPr="00D414FB" w:rsidRDefault="00A34B32" w:rsidP="005B198E">
      <w:pPr>
        <w:tabs>
          <w:tab w:val="left" w:pos="-720"/>
          <w:tab w:val="left" w:pos="0"/>
          <w:tab w:val="left" w:pos="1440"/>
        </w:tabs>
        <w:suppressAutoHyphens/>
        <w:spacing w:line="240" w:lineRule="atLeast"/>
        <w:ind w:left="709"/>
        <w:jc w:val="both"/>
        <w:rPr>
          <w:rFonts w:ascii="Arial" w:hAnsi="Arial" w:cs="Arial"/>
          <w:bCs/>
          <w:lang w:val="es-NI"/>
        </w:rPr>
      </w:pPr>
      <w:r w:rsidRPr="00D414FB">
        <w:rPr>
          <w:rFonts w:ascii="Arial" w:hAnsi="Arial" w:cs="Arial"/>
          <w:bCs/>
          <w:lang w:val="es-NI"/>
        </w:rPr>
        <w:t>Si en períodos posteriores al reconocimiento de la pérdida por deterioro del valor, ésta disminuyera a causa de, entre otras razones, una mejoría en la calificación crediticia del emisor, la pérdida por deterioro reconocida previamente será revertida directamente de la cuenta de</w:t>
      </w:r>
      <w:r w:rsidR="000F6339" w:rsidRPr="00D414FB">
        <w:rPr>
          <w:rFonts w:ascii="Arial" w:hAnsi="Arial" w:cs="Arial"/>
          <w:bCs/>
          <w:lang w:val="es-NI"/>
        </w:rPr>
        <w:t xml:space="preserve">l estado de situación financiera </w:t>
      </w:r>
      <w:r w:rsidRPr="00D414FB">
        <w:rPr>
          <w:rFonts w:ascii="Arial" w:hAnsi="Arial" w:cs="Arial"/>
          <w:bCs/>
          <w:lang w:val="es-NI"/>
        </w:rPr>
        <w:t>en donde fue contabilizada. El importe de la reversión se reconocerá en el resultado del período.</w:t>
      </w:r>
    </w:p>
    <w:p w:rsidR="001D38A3" w:rsidRPr="00D414FB" w:rsidRDefault="001D38A3" w:rsidP="005B198E">
      <w:pPr>
        <w:spacing w:after="0" w:line="240" w:lineRule="auto"/>
        <w:ind w:left="709"/>
        <w:contextualSpacing/>
        <w:jc w:val="both"/>
        <w:rPr>
          <w:rFonts w:ascii="Arial" w:hAnsi="Arial" w:cs="Arial"/>
          <w:lang w:val="es-NI"/>
        </w:rPr>
      </w:pPr>
      <w:r w:rsidRPr="00D414FB">
        <w:rPr>
          <w:rFonts w:ascii="Arial" w:hAnsi="Arial" w:cs="Arial"/>
          <w:lang w:val="es-NI"/>
        </w:rPr>
        <w:t>Como recurso práctico, la institución debe valorar el deterioro de un activo, que se contabilice a cost</w:t>
      </w:r>
      <w:r w:rsidR="00693965">
        <w:rPr>
          <w:rFonts w:ascii="Arial" w:hAnsi="Arial" w:cs="Arial"/>
          <w:lang w:val="es-NI"/>
        </w:rPr>
        <w:t>o</w:t>
      </w:r>
      <w:r w:rsidRPr="00D414FB">
        <w:rPr>
          <w:rFonts w:ascii="Arial" w:hAnsi="Arial" w:cs="Arial"/>
          <w:lang w:val="es-NI"/>
        </w:rPr>
        <w:t xml:space="preserve"> amortizado, a partir del valor razonable del instrumento utilizando un precio de mercado observable (Nivel I).</w:t>
      </w:r>
      <w:r w:rsidR="003B579B">
        <w:rPr>
          <w:rFonts w:ascii="Arial" w:hAnsi="Arial" w:cs="Arial"/>
          <w:lang w:val="es-NI"/>
        </w:rPr>
        <w:t xml:space="preserve"> </w:t>
      </w:r>
      <w:r w:rsidR="003B579B" w:rsidRPr="002B1380">
        <w:rPr>
          <w:rFonts w:ascii="Arial" w:hAnsi="Arial" w:cs="Arial"/>
          <w:lang w:val="es-NI"/>
        </w:rPr>
        <w:t xml:space="preserve">Válido </w:t>
      </w:r>
      <w:r w:rsidR="002B1380">
        <w:rPr>
          <w:rFonts w:ascii="Arial" w:hAnsi="Arial" w:cs="Arial"/>
          <w:lang w:val="es-NI"/>
        </w:rPr>
        <w:t xml:space="preserve">únicamente </w:t>
      </w:r>
      <w:r w:rsidR="003B579B" w:rsidRPr="002B1380">
        <w:rPr>
          <w:rFonts w:ascii="Arial" w:hAnsi="Arial" w:cs="Arial"/>
          <w:lang w:val="es-NI"/>
        </w:rPr>
        <w:t>para instrumentos financieros del exterior.</w:t>
      </w:r>
    </w:p>
    <w:p w:rsidR="008C5CA0" w:rsidRPr="00D414FB" w:rsidRDefault="008C5CA0" w:rsidP="005B198E">
      <w:pPr>
        <w:tabs>
          <w:tab w:val="left" w:pos="-720"/>
          <w:tab w:val="left" w:pos="0"/>
          <w:tab w:val="left" w:pos="1080"/>
          <w:tab w:val="left" w:pos="1440"/>
        </w:tabs>
        <w:suppressAutoHyphens/>
        <w:spacing w:after="0" w:line="240" w:lineRule="auto"/>
        <w:ind w:left="709"/>
        <w:jc w:val="both"/>
        <w:rPr>
          <w:rFonts w:ascii="Arial" w:hAnsi="Arial" w:cs="Arial"/>
          <w:bCs/>
          <w:lang w:val="es-NI"/>
        </w:rPr>
      </w:pPr>
    </w:p>
    <w:p w:rsidR="006A4FD1" w:rsidRPr="00D414FB" w:rsidRDefault="006A4FD1" w:rsidP="005B198E">
      <w:pPr>
        <w:tabs>
          <w:tab w:val="left" w:pos="-720"/>
          <w:tab w:val="left" w:pos="0"/>
          <w:tab w:val="left" w:pos="1440"/>
        </w:tabs>
        <w:suppressAutoHyphens/>
        <w:spacing w:after="0" w:line="240" w:lineRule="auto"/>
        <w:ind w:left="709"/>
        <w:jc w:val="both"/>
        <w:rPr>
          <w:rFonts w:ascii="Arial" w:hAnsi="Arial" w:cs="Arial"/>
          <w:bCs/>
          <w:lang w:val="es-NI"/>
        </w:rPr>
      </w:pPr>
      <w:r w:rsidRPr="00D414FB">
        <w:rPr>
          <w:rFonts w:ascii="Arial" w:hAnsi="Arial" w:cs="Arial"/>
          <w:bCs/>
          <w:lang w:val="es-NI"/>
        </w:rPr>
        <w:t>No obstante; lo anterior, en ningún caso la reversión del deterioro de valor dará lugar a que el valor en libros de la inversión exceda a su costo amortizado, determinado como si no se hubiese contabilizado la pérdida por deterioro del valor en la fecha de su reversión.</w:t>
      </w:r>
      <w:r w:rsidR="003B579B">
        <w:rPr>
          <w:rFonts w:ascii="Arial" w:hAnsi="Arial" w:cs="Arial"/>
          <w:bCs/>
          <w:lang w:val="es-NI"/>
        </w:rPr>
        <w:t xml:space="preserve"> </w:t>
      </w:r>
    </w:p>
    <w:p w:rsidR="00F509A3" w:rsidRPr="00D414FB" w:rsidRDefault="00F509A3" w:rsidP="00AB484C">
      <w:pPr>
        <w:pStyle w:val="Prrafodelista"/>
        <w:tabs>
          <w:tab w:val="left" w:pos="-720"/>
          <w:tab w:val="left" w:pos="0"/>
          <w:tab w:val="left" w:pos="1080"/>
          <w:tab w:val="left" w:pos="1440"/>
        </w:tabs>
        <w:suppressAutoHyphens/>
        <w:spacing w:line="240" w:lineRule="atLeast"/>
        <w:ind w:left="426"/>
        <w:jc w:val="both"/>
        <w:rPr>
          <w:rFonts w:ascii="Arial" w:hAnsi="Arial" w:cs="Arial"/>
          <w:b/>
          <w:sz w:val="22"/>
          <w:szCs w:val="22"/>
          <w:lang w:val="es-NI"/>
        </w:rPr>
      </w:pPr>
    </w:p>
    <w:p w:rsidR="003F4D8B" w:rsidRDefault="003F4D8B" w:rsidP="005B198E">
      <w:pPr>
        <w:pStyle w:val="Textoindependiente"/>
        <w:spacing w:after="0" w:line="240" w:lineRule="auto"/>
        <w:ind w:left="709"/>
        <w:jc w:val="both"/>
        <w:rPr>
          <w:rFonts w:ascii="Arial" w:hAnsi="Arial" w:cs="Arial"/>
          <w:u w:val="single"/>
          <w:lang w:val="es-NI"/>
        </w:rPr>
      </w:pPr>
      <w:r w:rsidRPr="002E0CAD">
        <w:rPr>
          <w:rFonts w:ascii="Arial" w:hAnsi="Arial" w:cs="Arial"/>
          <w:u w:val="single"/>
          <w:lang w:val="es-NI"/>
        </w:rPr>
        <w:t>En temas no referidos en los párrafos anteriores, aplicará lo establecido en la NIIF 9 Instrumentos Fina</w:t>
      </w:r>
      <w:r w:rsidR="00DE1DA1" w:rsidRPr="002E0CAD">
        <w:rPr>
          <w:rFonts w:ascii="Arial" w:hAnsi="Arial" w:cs="Arial"/>
          <w:u w:val="single"/>
          <w:lang w:val="es-NI"/>
        </w:rPr>
        <w:t>n</w:t>
      </w:r>
      <w:r w:rsidRPr="002E0CAD">
        <w:rPr>
          <w:rFonts w:ascii="Arial" w:hAnsi="Arial" w:cs="Arial"/>
          <w:u w:val="single"/>
          <w:lang w:val="es-NI"/>
        </w:rPr>
        <w:t>cieros.</w:t>
      </w:r>
    </w:p>
    <w:p w:rsidR="008C76AA" w:rsidRDefault="008C76AA" w:rsidP="00AB484C">
      <w:pPr>
        <w:pStyle w:val="Prrafodelista"/>
        <w:tabs>
          <w:tab w:val="left" w:pos="-720"/>
          <w:tab w:val="left" w:pos="0"/>
          <w:tab w:val="left" w:pos="1080"/>
          <w:tab w:val="left" w:pos="1440"/>
        </w:tabs>
        <w:suppressAutoHyphens/>
        <w:spacing w:line="240" w:lineRule="atLeast"/>
        <w:ind w:left="426"/>
        <w:jc w:val="both"/>
        <w:rPr>
          <w:rFonts w:ascii="Arial" w:hAnsi="Arial" w:cs="Arial"/>
          <w:b/>
          <w:sz w:val="22"/>
          <w:szCs w:val="22"/>
          <w:lang w:val="es-NI"/>
        </w:rPr>
      </w:pPr>
    </w:p>
    <w:p w:rsidR="00E857E3" w:rsidRPr="00D414FB" w:rsidRDefault="00E857E3" w:rsidP="00F509A3">
      <w:pPr>
        <w:pStyle w:val="Prrafodelista"/>
        <w:tabs>
          <w:tab w:val="left" w:pos="-720"/>
          <w:tab w:val="left" w:pos="0"/>
          <w:tab w:val="left" w:pos="1080"/>
          <w:tab w:val="left" w:pos="1440"/>
        </w:tabs>
        <w:suppressAutoHyphens/>
        <w:spacing w:line="240" w:lineRule="atLeast"/>
        <w:ind w:left="1080"/>
        <w:jc w:val="both"/>
        <w:rPr>
          <w:rFonts w:ascii="Arial" w:hAnsi="Arial" w:cs="Arial"/>
          <w:b/>
          <w:sz w:val="22"/>
          <w:szCs w:val="22"/>
          <w:lang w:val="es-NI"/>
        </w:rPr>
      </w:pPr>
    </w:p>
    <w:p w:rsidR="00A01541" w:rsidRDefault="00A01541" w:rsidP="005B198E">
      <w:pPr>
        <w:pStyle w:val="Numerales"/>
        <w:tabs>
          <w:tab w:val="clear" w:pos="540"/>
          <w:tab w:val="num" w:pos="567"/>
        </w:tabs>
        <w:ind w:left="567" w:hanging="283"/>
      </w:pPr>
      <w:bookmarkStart w:id="3" w:name="_Toc516736955"/>
      <w:r>
        <w:t>INSTRUMENTOS DE PATRIMONIO A VALOR RAZONABLE CON CAMBIOS EN OTRO RESULTADO INTEGRAL</w:t>
      </w:r>
      <w:bookmarkEnd w:id="3"/>
    </w:p>
    <w:p w:rsidR="00A01541" w:rsidRDefault="00A01541" w:rsidP="00A01541">
      <w:pPr>
        <w:pStyle w:val="Numerales"/>
        <w:numPr>
          <w:ilvl w:val="0"/>
          <w:numId w:val="0"/>
        </w:numPr>
        <w:ind w:left="567"/>
      </w:pPr>
    </w:p>
    <w:p w:rsidR="0054656E" w:rsidRDefault="00A01541" w:rsidP="00A01541">
      <w:pPr>
        <w:tabs>
          <w:tab w:val="left" w:pos="-720"/>
          <w:tab w:val="left" w:pos="0"/>
          <w:tab w:val="left" w:pos="1080"/>
          <w:tab w:val="left" w:pos="1440"/>
        </w:tabs>
        <w:suppressAutoHyphens/>
        <w:spacing w:line="240" w:lineRule="atLeast"/>
        <w:ind w:left="567"/>
        <w:jc w:val="both"/>
        <w:rPr>
          <w:rFonts w:ascii="Arial" w:hAnsi="Arial" w:cs="Arial"/>
          <w:bCs/>
          <w:lang w:val="es-NI"/>
        </w:rPr>
      </w:pPr>
      <w:r w:rsidRPr="00991A5E">
        <w:rPr>
          <w:rFonts w:ascii="Arial" w:hAnsi="Arial" w:cs="Arial"/>
          <w:bCs/>
          <w:lang w:val="es-NI"/>
        </w:rPr>
        <w:t>Las participaciones minoritarias que se mantiene sin fines de negociación, pueden designarse a valor razonable con cambios en otro resultado integral. Posteriormente, a la baja del instrumento financiero, los efectos acumulados en el otro resultado integral se reclasifican a resultados acumulados.</w:t>
      </w:r>
    </w:p>
    <w:p w:rsidR="00A01541" w:rsidRPr="00991A5E" w:rsidRDefault="00A01541" w:rsidP="00A01541">
      <w:pPr>
        <w:tabs>
          <w:tab w:val="left" w:pos="-720"/>
          <w:tab w:val="left" w:pos="0"/>
          <w:tab w:val="left" w:pos="1080"/>
          <w:tab w:val="left" w:pos="1440"/>
        </w:tabs>
        <w:suppressAutoHyphens/>
        <w:spacing w:line="240" w:lineRule="atLeast"/>
        <w:ind w:left="567"/>
        <w:jc w:val="both"/>
        <w:rPr>
          <w:rFonts w:ascii="Arial" w:hAnsi="Arial" w:cs="Arial"/>
          <w:bCs/>
          <w:lang w:val="es-NI"/>
        </w:rPr>
      </w:pPr>
      <w:r w:rsidRPr="00991A5E">
        <w:rPr>
          <w:rFonts w:ascii="Arial" w:hAnsi="Arial" w:cs="Arial"/>
          <w:bCs/>
          <w:u w:val="single"/>
          <w:lang w:val="es-NI"/>
        </w:rPr>
        <w:t xml:space="preserve">Aplicará todo lo requerido por NIIF9 </w:t>
      </w:r>
      <w:r w:rsidRPr="0054656E">
        <w:rPr>
          <w:rFonts w:ascii="Arial" w:hAnsi="Arial" w:cs="Arial"/>
          <w:bCs/>
          <w:u w:val="single"/>
          <w:lang w:val="es-NI"/>
        </w:rPr>
        <w:t>instrumentos financieros</w:t>
      </w:r>
      <w:r w:rsidRPr="00991A5E">
        <w:rPr>
          <w:rFonts w:ascii="Arial" w:hAnsi="Arial" w:cs="Arial"/>
          <w:bCs/>
          <w:lang w:val="es-NI"/>
        </w:rPr>
        <w:t>.</w:t>
      </w:r>
    </w:p>
    <w:p w:rsidR="00A9224C" w:rsidRDefault="00A9224C" w:rsidP="005B198E">
      <w:pPr>
        <w:pStyle w:val="Numerales"/>
        <w:tabs>
          <w:tab w:val="clear" w:pos="540"/>
          <w:tab w:val="num" w:pos="567"/>
        </w:tabs>
        <w:ind w:left="567" w:hanging="283"/>
      </w:pPr>
      <w:bookmarkStart w:id="4" w:name="_Toc516736956"/>
      <w:r w:rsidRPr="004D4995">
        <w:t>CARTERA DE CREDITOS</w:t>
      </w:r>
      <w:bookmarkEnd w:id="4"/>
    </w:p>
    <w:p w:rsidR="00F509A3" w:rsidRPr="00D414FB" w:rsidRDefault="00F509A3" w:rsidP="00B1309C">
      <w:pPr>
        <w:tabs>
          <w:tab w:val="left" w:pos="-720"/>
          <w:tab w:val="left" w:pos="0"/>
          <w:tab w:val="left" w:pos="1080"/>
          <w:tab w:val="left" w:pos="1440"/>
        </w:tabs>
        <w:suppressAutoHyphens/>
        <w:spacing w:after="0" w:line="240" w:lineRule="auto"/>
        <w:ind w:left="544"/>
        <w:jc w:val="both"/>
        <w:rPr>
          <w:rFonts w:ascii="Arial" w:hAnsi="Arial" w:cs="Arial"/>
          <w:lang w:val="es-NI"/>
        </w:rPr>
      </w:pPr>
    </w:p>
    <w:p w:rsidR="00A9224C" w:rsidRDefault="00422335" w:rsidP="005B198E">
      <w:pPr>
        <w:tabs>
          <w:tab w:val="left" w:pos="-720"/>
          <w:tab w:val="left" w:pos="0"/>
          <w:tab w:val="left" w:pos="1080"/>
          <w:tab w:val="left" w:pos="1440"/>
        </w:tabs>
        <w:suppressAutoHyphens/>
        <w:spacing w:after="0" w:line="240" w:lineRule="auto"/>
        <w:ind w:left="567"/>
        <w:jc w:val="both"/>
        <w:rPr>
          <w:rFonts w:ascii="Arial" w:hAnsi="Arial" w:cs="Arial"/>
          <w:lang w:val="es-NI"/>
        </w:rPr>
      </w:pPr>
      <w:r w:rsidRPr="00D414FB">
        <w:rPr>
          <w:rFonts w:ascii="Arial" w:hAnsi="Arial" w:cs="Arial"/>
          <w:lang w:val="es-NI"/>
        </w:rPr>
        <w:lastRenderedPageBreak/>
        <w:t>La cartera de créditos</w:t>
      </w:r>
      <w:r w:rsidR="00A9224C" w:rsidRPr="00D414FB">
        <w:rPr>
          <w:rFonts w:ascii="Arial" w:hAnsi="Arial" w:cs="Arial"/>
          <w:lang w:val="es-NI"/>
        </w:rPr>
        <w:t xml:space="preserve"> comprende los saldos de principal, intereses devengados y comisiones por cobrar de los créditos directos otorgados por la Institución, dentro de su actividad de i institución, cualquiera sea su destino específico y la modalidad bajo la cual se pacten o documenten.</w:t>
      </w:r>
    </w:p>
    <w:p w:rsidR="00214A58" w:rsidRPr="00D414FB" w:rsidRDefault="00214A58" w:rsidP="005B198E">
      <w:pPr>
        <w:tabs>
          <w:tab w:val="left" w:pos="-720"/>
          <w:tab w:val="left" w:pos="0"/>
          <w:tab w:val="left" w:pos="1080"/>
          <w:tab w:val="left" w:pos="1440"/>
        </w:tabs>
        <w:suppressAutoHyphens/>
        <w:spacing w:after="0" w:line="240" w:lineRule="auto"/>
        <w:ind w:left="567"/>
        <w:jc w:val="both"/>
        <w:rPr>
          <w:rFonts w:ascii="Arial" w:hAnsi="Arial" w:cs="Arial"/>
          <w:lang w:val="es-NI"/>
        </w:rPr>
      </w:pPr>
    </w:p>
    <w:p w:rsidR="00A9224C" w:rsidRPr="00EF42F5" w:rsidRDefault="00422335" w:rsidP="00EF42F5">
      <w:pPr>
        <w:pStyle w:val="Subttulo"/>
        <w:numPr>
          <w:ilvl w:val="1"/>
          <w:numId w:val="46"/>
        </w:numPr>
        <w:tabs>
          <w:tab w:val="left" w:pos="1134"/>
          <w:tab w:val="left" w:pos="1418"/>
        </w:tabs>
        <w:ind w:left="1134" w:hanging="567"/>
        <w:rPr>
          <w:rFonts w:ascii="Arial" w:eastAsia="Times New Roman" w:hAnsi="Arial" w:cs="Arial"/>
          <w:b/>
          <w:color w:val="auto"/>
          <w:spacing w:val="0"/>
          <w:lang w:val="es-MX" w:eastAsia="es-ES"/>
        </w:rPr>
      </w:pPr>
      <w:r w:rsidRPr="00EF42F5">
        <w:rPr>
          <w:rFonts w:ascii="Arial" w:eastAsia="Times New Roman" w:hAnsi="Arial" w:cs="Arial"/>
          <w:b/>
          <w:color w:val="auto"/>
          <w:spacing w:val="0"/>
          <w:lang w:val="es-MX" w:eastAsia="es-ES"/>
        </w:rPr>
        <w:t>DEFINICIONES</w:t>
      </w:r>
    </w:p>
    <w:p w:rsidR="00A9224C" w:rsidRPr="00D414FB" w:rsidRDefault="00A9224C" w:rsidP="005B198E">
      <w:pPr>
        <w:tabs>
          <w:tab w:val="left" w:pos="-720"/>
          <w:tab w:val="left" w:pos="567"/>
          <w:tab w:val="left" w:pos="1440"/>
        </w:tabs>
        <w:suppressAutoHyphens/>
        <w:spacing w:after="0" w:line="240" w:lineRule="auto"/>
        <w:ind w:left="567"/>
        <w:jc w:val="both"/>
        <w:rPr>
          <w:rFonts w:ascii="Arial" w:hAnsi="Arial" w:cs="Arial"/>
          <w:b/>
          <w:lang w:val="es-NI"/>
        </w:rPr>
      </w:pPr>
      <w:r w:rsidRPr="00D414FB">
        <w:rPr>
          <w:rFonts w:ascii="Arial" w:hAnsi="Arial" w:cs="Arial"/>
          <w:b/>
          <w:lang w:val="es-NI"/>
        </w:rPr>
        <w:t xml:space="preserve">Crédito: </w:t>
      </w:r>
      <w:r w:rsidRPr="00D414FB">
        <w:rPr>
          <w:rFonts w:ascii="Arial" w:hAnsi="Arial" w:cs="Arial"/>
          <w:lang w:val="es-NI"/>
        </w:rPr>
        <w:t>Activo resultante del financiamiento que otorgan las instituciones cuyos cobros son fijos o determinables, que no se negocian en un mercado activo y que son distintos de aquellos en los que se tenga la intención de vender inmediatamente o en un futuro próximo.</w:t>
      </w:r>
    </w:p>
    <w:p w:rsidR="009B6E6C" w:rsidRPr="00D414FB" w:rsidRDefault="009B6E6C" w:rsidP="00AB484C">
      <w:pPr>
        <w:tabs>
          <w:tab w:val="left" w:pos="-720"/>
          <w:tab w:val="left" w:pos="1080"/>
          <w:tab w:val="left" w:pos="1440"/>
        </w:tabs>
        <w:suppressAutoHyphens/>
        <w:spacing w:after="0" w:line="240" w:lineRule="auto"/>
        <w:ind w:left="426"/>
        <w:jc w:val="both"/>
        <w:rPr>
          <w:rFonts w:ascii="Arial" w:hAnsi="Arial" w:cs="Arial"/>
          <w:b/>
          <w:lang w:val="es-NI"/>
        </w:rPr>
      </w:pPr>
    </w:p>
    <w:p w:rsidR="00A9224C" w:rsidRPr="00D414FB" w:rsidRDefault="00A9224C" w:rsidP="005B198E">
      <w:pPr>
        <w:tabs>
          <w:tab w:val="left" w:pos="-720"/>
          <w:tab w:val="left" w:pos="1080"/>
          <w:tab w:val="left" w:pos="1440"/>
        </w:tabs>
        <w:suppressAutoHyphens/>
        <w:spacing w:after="0" w:line="240" w:lineRule="auto"/>
        <w:ind w:left="567"/>
        <w:jc w:val="both"/>
        <w:rPr>
          <w:rFonts w:ascii="Arial" w:hAnsi="Arial" w:cs="Arial"/>
          <w:lang w:val="es-NI"/>
        </w:rPr>
      </w:pPr>
      <w:r w:rsidRPr="00D414FB">
        <w:rPr>
          <w:rFonts w:ascii="Arial" w:hAnsi="Arial" w:cs="Arial"/>
          <w:b/>
          <w:lang w:val="es-NI"/>
        </w:rPr>
        <w:t>Calificación de cartera:</w:t>
      </w:r>
      <w:r w:rsidRPr="00D414FB">
        <w:rPr>
          <w:rFonts w:ascii="Arial" w:hAnsi="Arial" w:cs="Arial"/>
          <w:lang w:val="es-NI"/>
        </w:rPr>
        <w:t xml:space="preserve"> Metodología utilizada por las Instituciones para analizar el grado de </w:t>
      </w:r>
      <w:proofErr w:type="spellStart"/>
      <w:r w:rsidRPr="00D414FB">
        <w:rPr>
          <w:rFonts w:ascii="Arial" w:hAnsi="Arial" w:cs="Arial"/>
          <w:lang w:val="es-NI"/>
        </w:rPr>
        <w:t>recuperabilidad</w:t>
      </w:r>
      <w:proofErr w:type="spellEnd"/>
      <w:r w:rsidRPr="00D414FB">
        <w:rPr>
          <w:rFonts w:ascii="Arial" w:hAnsi="Arial" w:cs="Arial"/>
          <w:lang w:val="es-NI"/>
        </w:rPr>
        <w:t xml:space="preserve"> del conjunto de créditos de cada deudor y determinar el importe de pérdidas esperadas correspondiente a los créditos otorgados por las mismas.</w:t>
      </w:r>
    </w:p>
    <w:p w:rsidR="009B6E6C" w:rsidRPr="00D414FB" w:rsidRDefault="009B6E6C" w:rsidP="00AB484C">
      <w:pPr>
        <w:tabs>
          <w:tab w:val="left" w:pos="-720"/>
          <w:tab w:val="left" w:pos="1080"/>
          <w:tab w:val="left" w:pos="1440"/>
        </w:tabs>
        <w:suppressAutoHyphens/>
        <w:spacing w:after="0" w:line="240" w:lineRule="auto"/>
        <w:ind w:left="426"/>
        <w:jc w:val="both"/>
        <w:rPr>
          <w:rFonts w:ascii="Arial" w:hAnsi="Arial" w:cs="Arial"/>
          <w:b/>
          <w:lang w:val="es-NI"/>
        </w:rPr>
      </w:pPr>
    </w:p>
    <w:p w:rsidR="00A9224C" w:rsidRPr="00D414FB" w:rsidRDefault="00A9224C" w:rsidP="005B198E">
      <w:pPr>
        <w:tabs>
          <w:tab w:val="left" w:pos="-720"/>
          <w:tab w:val="left" w:pos="1080"/>
          <w:tab w:val="left" w:pos="1440"/>
        </w:tabs>
        <w:suppressAutoHyphens/>
        <w:spacing w:after="0" w:line="240" w:lineRule="auto"/>
        <w:ind w:left="567"/>
        <w:jc w:val="both"/>
        <w:rPr>
          <w:rFonts w:ascii="Arial" w:hAnsi="Arial" w:cs="Arial"/>
          <w:lang w:val="es-NI"/>
        </w:rPr>
      </w:pPr>
      <w:r w:rsidRPr="00D414FB">
        <w:rPr>
          <w:rFonts w:ascii="Arial" w:hAnsi="Arial" w:cs="Arial"/>
          <w:b/>
          <w:lang w:val="es-NI"/>
        </w:rPr>
        <w:t xml:space="preserve">Cartera con problemas: </w:t>
      </w:r>
      <w:r w:rsidRPr="00D414FB">
        <w:rPr>
          <w:rFonts w:ascii="Arial" w:hAnsi="Arial" w:cs="Arial"/>
          <w:lang w:val="es-NI"/>
        </w:rPr>
        <w:t xml:space="preserve">Aquellos créditos respecto de los cuales se determina que, con base en información y hechos </w:t>
      </w:r>
      <w:r w:rsidR="00003422" w:rsidRPr="00D414FB">
        <w:rPr>
          <w:rFonts w:ascii="Arial" w:hAnsi="Arial" w:cs="Arial"/>
          <w:lang w:val="es-NI"/>
        </w:rPr>
        <w:t>actuales,</w:t>
      </w:r>
      <w:r w:rsidRPr="00D414FB">
        <w:rPr>
          <w:rFonts w:ascii="Arial" w:hAnsi="Arial" w:cs="Arial"/>
          <w:lang w:val="es-NI"/>
        </w:rPr>
        <w:t xml:space="preserve"> así como en el proceso de revisión de los créditos, existe una probabilidad considerable de que los mismos no se podrán recuperar en su totalidad, tanto su componente de principal como de intereses, conforme a lo establecido en el contrato. La cartera vigente como la vencida son susceptibles de poder identificarse como cartera con problemas.</w:t>
      </w:r>
    </w:p>
    <w:p w:rsidR="009B6E6C" w:rsidRPr="00D414FB" w:rsidRDefault="009B6E6C" w:rsidP="00AB484C">
      <w:pPr>
        <w:tabs>
          <w:tab w:val="left" w:pos="-720"/>
          <w:tab w:val="left" w:pos="1080"/>
          <w:tab w:val="left" w:pos="1440"/>
        </w:tabs>
        <w:suppressAutoHyphens/>
        <w:spacing w:after="0" w:line="240" w:lineRule="auto"/>
        <w:ind w:left="426"/>
        <w:jc w:val="both"/>
        <w:rPr>
          <w:rFonts w:ascii="Arial" w:hAnsi="Arial" w:cs="Arial"/>
          <w:b/>
          <w:lang w:val="es-NI"/>
        </w:rPr>
      </w:pPr>
    </w:p>
    <w:p w:rsidR="00A9224C" w:rsidRPr="00D414FB" w:rsidRDefault="00A9224C" w:rsidP="005B198E">
      <w:pPr>
        <w:tabs>
          <w:tab w:val="left" w:pos="-720"/>
          <w:tab w:val="left" w:pos="1080"/>
          <w:tab w:val="left" w:pos="1440"/>
        </w:tabs>
        <w:suppressAutoHyphens/>
        <w:spacing w:after="0" w:line="240" w:lineRule="auto"/>
        <w:ind w:left="567"/>
        <w:jc w:val="both"/>
        <w:rPr>
          <w:rFonts w:ascii="Arial" w:hAnsi="Arial" w:cs="Arial"/>
          <w:lang w:val="es-NI"/>
        </w:rPr>
      </w:pPr>
      <w:r w:rsidRPr="00D414FB">
        <w:rPr>
          <w:rFonts w:ascii="Arial" w:hAnsi="Arial" w:cs="Arial"/>
          <w:b/>
          <w:lang w:val="es-NI"/>
        </w:rPr>
        <w:t xml:space="preserve">Cartera vigente: </w:t>
      </w:r>
      <w:r w:rsidRPr="00D414FB">
        <w:rPr>
          <w:rFonts w:ascii="Arial" w:hAnsi="Arial" w:cs="Arial"/>
          <w:lang w:val="es-NI"/>
        </w:rPr>
        <w:t>Representa todos aquellos créditos que están al corriente en sus pagos tanto de principal como de intereses conforme al plan de pagos originalmente pactado.</w:t>
      </w:r>
    </w:p>
    <w:p w:rsidR="009B6E6C" w:rsidRPr="00D414FB" w:rsidRDefault="009B6E6C" w:rsidP="005B198E">
      <w:pPr>
        <w:tabs>
          <w:tab w:val="left" w:pos="-720"/>
          <w:tab w:val="left" w:pos="1080"/>
          <w:tab w:val="left" w:pos="1440"/>
        </w:tabs>
        <w:suppressAutoHyphens/>
        <w:spacing w:after="0" w:line="240" w:lineRule="auto"/>
        <w:ind w:left="567"/>
        <w:jc w:val="both"/>
        <w:rPr>
          <w:rFonts w:ascii="Arial" w:hAnsi="Arial" w:cs="Arial"/>
          <w:b/>
          <w:lang w:val="es-NI"/>
        </w:rPr>
      </w:pPr>
    </w:p>
    <w:p w:rsidR="00A9224C" w:rsidRPr="00D414FB" w:rsidRDefault="00090F05" w:rsidP="005B198E">
      <w:pPr>
        <w:tabs>
          <w:tab w:val="left" w:pos="-720"/>
          <w:tab w:val="left" w:pos="1080"/>
          <w:tab w:val="left" w:pos="1440"/>
        </w:tabs>
        <w:suppressAutoHyphens/>
        <w:spacing w:after="0" w:line="240" w:lineRule="auto"/>
        <w:ind w:left="567"/>
        <w:jc w:val="both"/>
        <w:rPr>
          <w:rFonts w:ascii="Arial" w:hAnsi="Arial" w:cs="Arial"/>
          <w:lang w:val="es-NI"/>
        </w:rPr>
      </w:pPr>
      <w:r w:rsidRPr="00D414FB">
        <w:rPr>
          <w:rFonts w:ascii="Arial" w:hAnsi="Arial" w:cs="Arial"/>
          <w:b/>
          <w:lang w:val="es-NI"/>
        </w:rPr>
        <w:t>Baja</w:t>
      </w:r>
      <w:r w:rsidR="00A9224C" w:rsidRPr="00D414FB">
        <w:rPr>
          <w:rFonts w:ascii="Arial" w:hAnsi="Arial" w:cs="Arial"/>
          <w:b/>
          <w:lang w:val="es-NI"/>
        </w:rPr>
        <w:t xml:space="preserve">: </w:t>
      </w:r>
      <w:r w:rsidR="00A9224C" w:rsidRPr="00D414FB">
        <w:rPr>
          <w:rFonts w:ascii="Arial" w:hAnsi="Arial" w:cs="Arial"/>
          <w:lang w:val="es-NI"/>
        </w:rPr>
        <w:t>Es la cancelación del crédito cuando existe evidencia de que se han agotado las gestiones formales de cobro o determinado la imposibilidad práctica de recuperación del crédito.</w:t>
      </w:r>
    </w:p>
    <w:p w:rsidR="009B6E6C" w:rsidRPr="00D414FB" w:rsidRDefault="009B6E6C" w:rsidP="005B198E">
      <w:pPr>
        <w:tabs>
          <w:tab w:val="left" w:pos="-720"/>
          <w:tab w:val="left" w:pos="1080"/>
          <w:tab w:val="left" w:pos="1440"/>
        </w:tabs>
        <w:suppressAutoHyphens/>
        <w:spacing w:after="0" w:line="240" w:lineRule="auto"/>
        <w:ind w:left="567"/>
        <w:jc w:val="both"/>
        <w:rPr>
          <w:rFonts w:ascii="Arial" w:hAnsi="Arial" w:cs="Arial"/>
          <w:b/>
          <w:lang w:val="es-NI"/>
        </w:rPr>
      </w:pPr>
    </w:p>
    <w:p w:rsidR="00A9224C" w:rsidRPr="00D414FB" w:rsidRDefault="00A9224C" w:rsidP="005B198E">
      <w:pPr>
        <w:tabs>
          <w:tab w:val="left" w:pos="-720"/>
          <w:tab w:val="left" w:pos="1080"/>
          <w:tab w:val="left" w:pos="1440"/>
        </w:tabs>
        <w:suppressAutoHyphens/>
        <w:spacing w:after="0" w:line="240" w:lineRule="auto"/>
        <w:ind w:left="567"/>
        <w:jc w:val="both"/>
        <w:rPr>
          <w:rFonts w:ascii="Arial" w:hAnsi="Arial" w:cs="Arial"/>
          <w:b/>
          <w:lang w:val="es-NI"/>
        </w:rPr>
      </w:pPr>
      <w:r w:rsidRPr="00D414FB">
        <w:rPr>
          <w:rFonts w:ascii="Arial" w:hAnsi="Arial" w:cs="Arial"/>
          <w:b/>
          <w:lang w:val="es-NI"/>
        </w:rPr>
        <w:t xml:space="preserve">Créditos a </w:t>
      </w:r>
      <w:r w:rsidR="00CB3BF9" w:rsidRPr="00D414FB">
        <w:rPr>
          <w:rFonts w:ascii="Arial" w:hAnsi="Arial" w:cs="Arial"/>
          <w:b/>
          <w:lang w:val="es-NI"/>
        </w:rPr>
        <w:t>institucio</w:t>
      </w:r>
      <w:r w:rsidR="009E3A95" w:rsidRPr="00D414FB">
        <w:rPr>
          <w:rFonts w:ascii="Arial" w:hAnsi="Arial" w:cs="Arial"/>
          <w:b/>
          <w:lang w:val="es-NI"/>
        </w:rPr>
        <w:t>n</w:t>
      </w:r>
      <w:r w:rsidRPr="00D414FB">
        <w:rPr>
          <w:rFonts w:ascii="Arial" w:hAnsi="Arial" w:cs="Arial"/>
          <w:b/>
          <w:lang w:val="es-NI"/>
        </w:rPr>
        <w:t xml:space="preserve">es financieras: </w:t>
      </w:r>
      <w:r w:rsidRPr="00D414FB">
        <w:rPr>
          <w:rFonts w:ascii="Arial" w:hAnsi="Arial" w:cs="Arial"/>
          <w:lang w:val="es-NI"/>
        </w:rPr>
        <w:t xml:space="preserve">Son todos aquellos créditos que han sido otorgados a </w:t>
      </w:r>
      <w:r w:rsidR="00C479C7" w:rsidRPr="00D414FB">
        <w:rPr>
          <w:rFonts w:ascii="Arial" w:hAnsi="Arial" w:cs="Arial"/>
          <w:lang w:val="es-NI"/>
        </w:rPr>
        <w:t>instituciones</w:t>
      </w:r>
      <w:r w:rsidRPr="00D414FB">
        <w:rPr>
          <w:rFonts w:ascii="Arial" w:hAnsi="Arial" w:cs="Arial"/>
          <w:lang w:val="es-NI"/>
        </w:rPr>
        <w:t xml:space="preserve"> financieras, a un plazo mayor a 3 días hábiles laborales.</w:t>
      </w:r>
    </w:p>
    <w:p w:rsidR="009B6E6C" w:rsidRPr="00D414FB" w:rsidRDefault="009B6E6C" w:rsidP="005B198E">
      <w:pPr>
        <w:autoSpaceDE w:val="0"/>
        <w:autoSpaceDN w:val="0"/>
        <w:adjustRightInd w:val="0"/>
        <w:spacing w:after="0" w:line="240" w:lineRule="auto"/>
        <w:ind w:left="567"/>
        <w:jc w:val="both"/>
        <w:rPr>
          <w:rFonts w:ascii="Arial" w:hAnsi="Arial" w:cs="Arial"/>
          <w:b/>
          <w:lang w:val="es-NI"/>
        </w:rPr>
      </w:pPr>
    </w:p>
    <w:p w:rsidR="00A9224C" w:rsidRPr="00D414FB" w:rsidRDefault="00A9224C" w:rsidP="005B198E">
      <w:pPr>
        <w:autoSpaceDE w:val="0"/>
        <w:autoSpaceDN w:val="0"/>
        <w:adjustRightInd w:val="0"/>
        <w:spacing w:after="0" w:line="240" w:lineRule="auto"/>
        <w:ind w:left="567"/>
        <w:jc w:val="both"/>
        <w:rPr>
          <w:rFonts w:ascii="Arial" w:hAnsi="Arial" w:cs="Arial"/>
          <w:lang w:val="es-NI"/>
        </w:rPr>
      </w:pPr>
      <w:r w:rsidRPr="00D414FB">
        <w:rPr>
          <w:rFonts w:ascii="Arial" w:hAnsi="Arial" w:cs="Arial"/>
          <w:b/>
          <w:lang w:val="es-NI"/>
        </w:rPr>
        <w:t xml:space="preserve">Créditos personales: </w:t>
      </w:r>
      <w:r w:rsidRPr="00D414FB">
        <w:rPr>
          <w:rFonts w:ascii="Arial" w:hAnsi="Arial" w:cs="Arial"/>
          <w:lang w:val="es-NI"/>
        </w:rPr>
        <w:t>Son todos aquellos créditos directos, otorgados a personas naturales destinados a financiar la adquisición de bienes de consumo o el pago de obligaciones y servicios personales, cuyo monto al momento del otorgamiento se haga en función a la capacidad de pago del solicitante. Se imputarán a este grupo las deudas originadas a través de los sistemas de Tarjetas de Crédito.</w:t>
      </w:r>
    </w:p>
    <w:p w:rsidR="009B6E6C" w:rsidRPr="00D414FB" w:rsidRDefault="009B6E6C" w:rsidP="00AB484C">
      <w:pPr>
        <w:spacing w:after="0" w:line="240" w:lineRule="auto"/>
        <w:ind w:left="426"/>
        <w:jc w:val="both"/>
        <w:rPr>
          <w:rFonts w:ascii="Arial" w:hAnsi="Arial" w:cs="Arial"/>
          <w:b/>
          <w:lang w:val="es-NI"/>
        </w:rPr>
      </w:pPr>
    </w:p>
    <w:p w:rsidR="00A9224C" w:rsidRPr="00D414FB" w:rsidRDefault="00C479C7" w:rsidP="005B198E">
      <w:pPr>
        <w:spacing w:after="0" w:line="240" w:lineRule="auto"/>
        <w:ind w:left="567"/>
        <w:jc w:val="both"/>
        <w:rPr>
          <w:rFonts w:ascii="Arial" w:hAnsi="Arial" w:cs="Arial"/>
          <w:lang w:val="es-NI"/>
        </w:rPr>
      </w:pPr>
      <w:r>
        <w:rPr>
          <w:rFonts w:ascii="Arial" w:hAnsi="Arial" w:cs="Arial"/>
          <w:b/>
          <w:lang w:val="es-NI"/>
        </w:rPr>
        <w:t>Provisiones por i</w:t>
      </w:r>
      <w:r w:rsidR="00CB3BF9" w:rsidRPr="00D414FB">
        <w:rPr>
          <w:rFonts w:ascii="Arial" w:hAnsi="Arial" w:cs="Arial"/>
          <w:b/>
          <w:lang w:val="es-NI"/>
        </w:rPr>
        <w:t xml:space="preserve">ncobrabilidad de </w:t>
      </w:r>
      <w:r w:rsidR="00A9224C" w:rsidRPr="00D414FB">
        <w:rPr>
          <w:rFonts w:ascii="Arial" w:hAnsi="Arial" w:cs="Arial"/>
          <w:b/>
          <w:lang w:val="es-NI"/>
        </w:rPr>
        <w:t xml:space="preserve">Cartera de Crédito: </w:t>
      </w:r>
      <w:r w:rsidR="00A9224C" w:rsidRPr="00D414FB">
        <w:rPr>
          <w:rFonts w:ascii="Arial" w:hAnsi="Arial" w:cs="Arial"/>
          <w:lang w:val="es-NI"/>
        </w:rPr>
        <w:t>Afectación contable que se realiza contra resultados y que mide aquella porción del crédito que se estima no tendrá viabilidad en su recuperación.</w:t>
      </w:r>
    </w:p>
    <w:p w:rsidR="009B6E6C" w:rsidRPr="00D414FB" w:rsidRDefault="009B6E6C" w:rsidP="005B198E">
      <w:pPr>
        <w:spacing w:after="0" w:line="240" w:lineRule="auto"/>
        <w:ind w:left="567"/>
        <w:jc w:val="both"/>
        <w:rPr>
          <w:rFonts w:ascii="Arial" w:hAnsi="Arial" w:cs="Arial"/>
          <w:b/>
          <w:lang w:val="es-NI"/>
        </w:rPr>
      </w:pPr>
    </w:p>
    <w:p w:rsidR="00A9224C" w:rsidRDefault="00A9224C" w:rsidP="005B198E">
      <w:pPr>
        <w:spacing w:after="0" w:line="240" w:lineRule="auto"/>
        <w:ind w:left="567"/>
        <w:jc w:val="both"/>
        <w:rPr>
          <w:rFonts w:ascii="Arial" w:hAnsi="Arial" w:cs="Arial"/>
          <w:lang w:val="es-NI"/>
        </w:rPr>
      </w:pPr>
      <w:r w:rsidRPr="00D414FB">
        <w:rPr>
          <w:rFonts w:ascii="Arial" w:hAnsi="Arial" w:cs="Arial"/>
          <w:b/>
          <w:lang w:val="es-NI"/>
        </w:rPr>
        <w:t>Riesgo de crédito</w:t>
      </w:r>
      <w:r w:rsidRPr="00D414FB">
        <w:rPr>
          <w:rFonts w:ascii="Arial" w:hAnsi="Arial" w:cs="Arial"/>
          <w:lang w:val="es-NI"/>
        </w:rPr>
        <w:t>: Se refiere a la posibilidad de que los deudores o contrapartes de los contratos de créditos no cumplan con la obligación pactada originalmente.</w:t>
      </w:r>
    </w:p>
    <w:p w:rsidR="00810FE2" w:rsidRPr="00D414FB" w:rsidRDefault="00810FE2" w:rsidP="00B1309C">
      <w:pPr>
        <w:spacing w:after="0" w:line="240" w:lineRule="auto"/>
        <w:ind w:left="544"/>
        <w:jc w:val="both"/>
        <w:rPr>
          <w:rFonts w:ascii="Arial" w:hAnsi="Arial" w:cs="Arial"/>
          <w:lang w:val="es-NI"/>
        </w:rPr>
      </w:pPr>
    </w:p>
    <w:p w:rsidR="00A9224C" w:rsidRPr="00EF42F5" w:rsidRDefault="00A9224C" w:rsidP="00EF42F5">
      <w:pPr>
        <w:pStyle w:val="Subttulo"/>
        <w:numPr>
          <w:ilvl w:val="1"/>
          <w:numId w:val="46"/>
        </w:numPr>
        <w:tabs>
          <w:tab w:val="left" w:pos="1134"/>
          <w:tab w:val="left" w:pos="1418"/>
        </w:tabs>
        <w:ind w:left="1134" w:hanging="567"/>
        <w:rPr>
          <w:rFonts w:ascii="Arial" w:eastAsia="Times New Roman" w:hAnsi="Arial" w:cs="Arial"/>
          <w:b/>
          <w:color w:val="auto"/>
          <w:spacing w:val="0"/>
          <w:lang w:val="es-MX" w:eastAsia="es-ES"/>
        </w:rPr>
      </w:pPr>
      <w:r w:rsidRPr="00EF42F5">
        <w:rPr>
          <w:rFonts w:ascii="Arial" w:eastAsia="Times New Roman" w:hAnsi="Arial" w:cs="Arial"/>
          <w:b/>
          <w:color w:val="auto"/>
          <w:spacing w:val="0"/>
          <w:lang w:val="es-MX" w:eastAsia="es-ES"/>
        </w:rPr>
        <w:t>REGLAS DE REGISTRO Y VALUACION</w:t>
      </w:r>
    </w:p>
    <w:p w:rsidR="00446736" w:rsidRPr="00D414FB" w:rsidRDefault="00446736" w:rsidP="005B198E">
      <w:pPr>
        <w:pStyle w:val="Prrafodelista"/>
        <w:ind w:left="567"/>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 xml:space="preserve">Los créditos desembolsados se reconocerán inicialmente por su valor nominal, contabilizando la comisión percibida de acuerdo con el siguiente criterio: </w:t>
      </w:r>
    </w:p>
    <w:p w:rsidR="00446736" w:rsidRPr="00D414FB" w:rsidRDefault="00446736" w:rsidP="00AB484C">
      <w:pPr>
        <w:pStyle w:val="Prrafodelista"/>
        <w:ind w:left="547" w:hanging="121"/>
        <w:contextualSpacing/>
        <w:jc w:val="both"/>
        <w:rPr>
          <w:rFonts w:ascii="Arial" w:hAnsi="Arial" w:cs="Arial"/>
          <w:color w:val="000000" w:themeColor="text1"/>
          <w:sz w:val="22"/>
          <w:szCs w:val="22"/>
          <w:lang w:val="es-NI"/>
        </w:rPr>
      </w:pPr>
    </w:p>
    <w:p w:rsidR="0044311D" w:rsidRPr="00D414FB" w:rsidRDefault="0044311D" w:rsidP="00C66AB7">
      <w:pPr>
        <w:pStyle w:val="Prrafodelista"/>
        <w:numPr>
          <w:ilvl w:val="0"/>
          <w:numId w:val="9"/>
        </w:numPr>
        <w:ind w:left="1276" w:hanging="283"/>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 xml:space="preserve">Los costos directos de apertura del crédito se </w:t>
      </w:r>
      <w:r w:rsidR="000C6A0D" w:rsidRPr="00D414FB">
        <w:rPr>
          <w:rFonts w:ascii="Arial" w:hAnsi="Arial" w:cs="Arial"/>
          <w:color w:val="000000" w:themeColor="text1"/>
          <w:sz w:val="22"/>
          <w:szCs w:val="22"/>
          <w:lang w:val="es-NI"/>
        </w:rPr>
        <w:t>compensarán</w:t>
      </w:r>
      <w:r w:rsidRPr="00D414FB">
        <w:rPr>
          <w:rFonts w:ascii="Arial" w:hAnsi="Arial" w:cs="Arial"/>
          <w:color w:val="000000" w:themeColor="text1"/>
          <w:sz w:val="22"/>
          <w:szCs w:val="22"/>
          <w:lang w:val="es-NI"/>
        </w:rPr>
        <w:t xml:space="preserve"> del importe de la comisión </w:t>
      </w:r>
      <w:r w:rsidR="00441C38" w:rsidRPr="00D414FB">
        <w:rPr>
          <w:rFonts w:ascii="Arial" w:hAnsi="Arial" w:cs="Arial"/>
          <w:color w:val="000000" w:themeColor="text1"/>
          <w:sz w:val="22"/>
          <w:szCs w:val="22"/>
          <w:lang w:val="es-NI"/>
        </w:rPr>
        <w:t>per</w:t>
      </w:r>
      <w:r w:rsidRPr="00D414FB">
        <w:rPr>
          <w:rFonts w:ascii="Arial" w:hAnsi="Arial" w:cs="Arial"/>
          <w:color w:val="000000" w:themeColor="text1"/>
          <w:sz w:val="22"/>
          <w:szCs w:val="22"/>
          <w:lang w:val="es-NI"/>
        </w:rPr>
        <w:t xml:space="preserve">cibida y se </w:t>
      </w:r>
      <w:r w:rsidR="00C479C7" w:rsidRPr="00D414FB">
        <w:rPr>
          <w:rFonts w:ascii="Arial" w:hAnsi="Arial" w:cs="Arial"/>
          <w:color w:val="000000" w:themeColor="text1"/>
          <w:sz w:val="22"/>
          <w:szCs w:val="22"/>
          <w:lang w:val="es-NI"/>
        </w:rPr>
        <w:t>reconocerán</w:t>
      </w:r>
      <w:r w:rsidRPr="00D414FB">
        <w:rPr>
          <w:rFonts w:ascii="Arial" w:hAnsi="Arial" w:cs="Arial"/>
          <w:color w:val="000000" w:themeColor="text1"/>
          <w:sz w:val="22"/>
          <w:szCs w:val="22"/>
          <w:lang w:val="es-NI"/>
        </w:rPr>
        <w:t xml:space="preserve"> como ingreso en resultados del período.</w:t>
      </w:r>
    </w:p>
    <w:p w:rsidR="00717D16" w:rsidRPr="00D414FB" w:rsidRDefault="00717D16" w:rsidP="005B198E">
      <w:pPr>
        <w:pStyle w:val="Prrafodelista"/>
        <w:ind w:left="1276" w:hanging="142"/>
        <w:contextualSpacing/>
        <w:jc w:val="both"/>
        <w:rPr>
          <w:rFonts w:ascii="Arial" w:hAnsi="Arial" w:cs="Arial"/>
          <w:color w:val="000000" w:themeColor="text1"/>
          <w:sz w:val="22"/>
          <w:szCs w:val="22"/>
          <w:lang w:val="es-NI"/>
        </w:rPr>
      </w:pPr>
    </w:p>
    <w:p w:rsidR="00446736" w:rsidRDefault="00446736" w:rsidP="00C66AB7">
      <w:pPr>
        <w:pStyle w:val="Prrafodelista"/>
        <w:numPr>
          <w:ilvl w:val="0"/>
          <w:numId w:val="9"/>
        </w:numPr>
        <w:ind w:left="1276" w:hanging="283"/>
        <w:contextualSpacing/>
        <w:jc w:val="both"/>
        <w:rPr>
          <w:rFonts w:ascii="Arial" w:hAnsi="Arial" w:cs="Arial"/>
          <w:color w:val="000000" w:themeColor="text1"/>
          <w:sz w:val="22"/>
          <w:szCs w:val="22"/>
          <w:lang w:val="es-NI"/>
        </w:rPr>
      </w:pPr>
      <w:r w:rsidRPr="00D414FB">
        <w:rPr>
          <w:rFonts w:ascii="Arial" w:hAnsi="Arial" w:cs="Arial"/>
          <w:color w:val="000000" w:themeColor="text1"/>
          <w:sz w:val="22"/>
          <w:szCs w:val="22"/>
          <w:lang w:val="es-NI"/>
        </w:rPr>
        <w:t>El exceso</w:t>
      </w:r>
      <w:r w:rsidR="00441C38" w:rsidRPr="00D414FB">
        <w:rPr>
          <w:rFonts w:ascii="Arial" w:hAnsi="Arial" w:cs="Arial"/>
          <w:color w:val="000000" w:themeColor="text1"/>
          <w:sz w:val="22"/>
          <w:szCs w:val="22"/>
          <w:lang w:val="es-NI"/>
        </w:rPr>
        <w:t xml:space="preserve"> de las comisiones percibidas</w:t>
      </w:r>
      <w:r w:rsidRPr="00D414FB">
        <w:rPr>
          <w:rFonts w:ascii="Arial" w:hAnsi="Arial" w:cs="Arial"/>
          <w:color w:val="000000" w:themeColor="text1"/>
          <w:sz w:val="22"/>
          <w:szCs w:val="22"/>
          <w:lang w:val="es-NI"/>
        </w:rPr>
        <w:t xml:space="preserve"> sobre dichos costos, se registrará en cuenta correctora de activo </w:t>
      </w:r>
      <w:r w:rsidR="00DB3F45" w:rsidRPr="00D414FB">
        <w:rPr>
          <w:rFonts w:ascii="Arial" w:hAnsi="Arial" w:cs="Arial"/>
          <w:color w:val="000000" w:themeColor="text1"/>
          <w:sz w:val="22"/>
          <w:szCs w:val="22"/>
          <w:lang w:val="es-NI"/>
        </w:rPr>
        <w:t xml:space="preserve">denominada </w:t>
      </w:r>
      <w:r w:rsidRPr="00D414FB">
        <w:rPr>
          <w:rFonts w:ascii="Arial" w:hAnsi="Arial" w:cs="Arial"/>
          <w:color w:val="000000" w:themeColor="text1"/>
          <w:sz w:val="22"/>
          <w:szCs w:val="22"/>
          <w:lang w:val="es-NI"/>
        </w:rPr>
        <w:t xml:space="preserve">Comisiones Devengadas con Tasa de Interés Efectiva (naturaleza acreedora) y se aplicará lo dispuesto en la normativa </w:t>
      </w:r>
      <w:r w:rsidR="00344EBA" w:rsidRPr="00D414FB">
        <w:rPr>
          <w:rFonts w:ascii="Arial" w:hAnsi="Arial" w:cs="Arial"/>
          <w:color w:val="000000" w:themeColor="text1"/>
          <w:sz w:val="22"/>
          <w:szCs w:val="22"/>
          <w:lang w:val="es-NI"/>
        </w:rPr>
        <w:t>emitida por la Superintendencia de Bancos</w:t>
      </w:r>
      <w:r w:rsidRPr="00D414FB">
        <w:rPr>
          <w:rFonts w:ascii="Arial" w:hAnsi="Arial" w:cs="Arial"/>
          <w:color w:val="000000" w:themeColor="text1"/>
          <w:sz w:val="22"/>
          <w:szCs w:val="22"/>
          <w:lang w:val="es-NI"/>
        </w:rPr>
        <w:t xml:space="preserve">. </w:t>
      </w:r>
    </w:p>
    <w:p w:rsidR="00AB484C" w:rsidRDefault="00AB484C" w:rsidP="00C479C7">
      <w:pPr>
        <w:pStyle w:val="Prrafodelista"/>
        <w:rPr>
          <w:rFonts w:ascii="Arial" w:hAnsi="Arial" w:cs="Arial"/>
          <w:color w:val="000000" w:themeColor="text1"/>
          <w:sz w:val="22"/>
          <w:szCs w:val="22"/>
          <w:lang w:val="es-NI"/>
        </w:rPr>
      </w:pPr>
    </w:p>
    <w:p w:rsidR="00A9224C" w:rsidRPr="002C391A" w:rsidRDefault="00A9224C" w:rsidP="00C66AB7">
      <w:pPr>
        <w:pStyle w:val="Subttulo"/>
        <w:numPr>
          <w:ilvl w:val="2"/>
          <w:numId w:val="42"/>
        </w:numPr>
        <w:tabs>
          <w:tab w:val="left" w:pos="1134"/>
          <w:tab w:val="left" w:pos="1560"/>
        </w:tabs>
        <w:ind w:left="1276" w:hanging="425"/>
        <w:rPr>
          <w:rFonts w:ascii="Arial" w:hAnsi="Arial" w:cs="Arial"/>
          <w:b/>
          <w:color w:val="auto"/>
          <w:lang w:val="es-NI"/>
        </w:rPr>
      </w:pPr>
      <w:r w:rsidRPr="002C391A">
        <w:rPr>
          <w:rFonts w:ascii="Arial" w:hAnsi="Arial" w:cs="Arial"/>
          <w:b/>
          <w:color w:val="auto"/>
          <w:lang w:val="es-NI"/>
        </w:rPr>
        <w:t>Suspensión y reversión de los rendimientos financieros</w:t>
      </w:r>
    </w:p>
    <w:p w:rsidR="00A9224C" w:rsidRDefault="00A9224C" w:rsidP="00C66AB7">
      <w:pPr>
        <w:spacing w:after="0" w:line="240" w:lineRule="auto"/>
        <w:ind w:left="851"/>
        <w:jc w:val="both"/>
        <w:rPr>
          <w:rFonts w:ascii="Arial" w:hAnsi="Arial" w:cs="Arial"/>
          <w:lang w:val="es-NI"/>
        </w:rPr>
      </w:pPr>
      <w:r w:rsidRPr="00D414FB">
        <w:rPr>
          <w:rFonts w:ascii="Arial" w:hAnsi="Arial" w:cs="Arial"/>
          <w:lang w:val="es-NI"/>
        </w:rPr>
        <w:t>La causación de los rendimientos financieros se suspenderá el día que se traslada el crédito a situación de vencido, simultáneamente se sanearán los intereses acumulados a esa fecha. Para aquellos deudores que se clasifiquen en categoría D o E, según lo establec</w:t>
      </w:r>
      <w:r w:rsidR="00082546" w:rsidRPr="00D414FB">
        <w:rPr>
          <w:rFonts w:ascii="Arial" w:hAnsi="Arial" w:cs="Arial"/>
          <w:lang w:val="es-NI"/>
        </w:rPr>
        <w:t xml:space="preserve">ido </w:t>
      </w:r>
      <w:r w:rsidRPr="00D414FB">
        <w:rPr>
          <w:rFonts w:ascii="Arial" w:hAnsi="Arial" w:cs="Arial"/>
          <w:lang w:val="es-NI"/>
        </w:rPr>
        <w:t>e</w:t>
      </w:r>
      <w:r w:rsidR="00082546" w:rsidRPr="00D414FB">
        <w:rPr>
          <w:rFonts w:ascii="Arial" w:hAnsi="Arial" w:cs="Arial"/>
          <w:lang w:val="es-NI"/>
        </w:rPr>
        <w:t>n</w:t>
      </w:r>
      <w:r w:rsidRPr="00D414FB">
        <w:rPr>
          <w:rFonts w:ascii="Arial" w:hAnsi="Arial" w:cs="Arial"/>
          <w:lang w:val="es-NI"/>
        </w:rPr>
        <w:t xml:space="preserve"> la</w:t>
      </w:r>
      <w:r w:rsidR="00082546" w:rsidRPr="00D414FB">
        <w:rPr>
          <w:rFonts w:ascii="Arial" w:hAnsi="Arial" w:cs="Arial"/>
          <w:lang w:val="es-NI"/>
        </w:rPr>
        <w:t xml:space="preserve"> normativa emitida por la Superintendencia de Bancos</w:t>
      </w:r>
      <w:r w:rsidRPr="00D414FB">
        <w:rPr>
          <w:rFonts w:ascii="Arial" w:hAnsi="Arial" w:cs="Arial"/>
          <w:lang w:val="es-NI"/>
        </w:rPr>
        <w:t>, aunque no posean créditos vencidos, estos dejarán de reconocer ingresos por concepto de intereses y comisiones devengadas</w:t>
      </w:r>
      <w:r w:rsidR="00793BFD" w:rsidRPr="00D414FB">
        <w:rPr>
          <w:rFonts w:ascii="Arial" w:hAnsi="Arial" w:cs="Arial"/>
          <w:lang w:val="es-NI"/>
        </w:rPr>
        <w:t>,</w:t>
      </w:r>
      <w:r w:rsidRPr="00D414FB">
        <w:rPr>
          <w:rFonts w:ascii="Arial" w:hAnsi="Arial" w:cs="Arial"/>
          <w:lang w:val="es-NI"/>
        </w:rPr>
        <w:t xml:space="preserve"> y efectuar el saneamiento de los intereses y/o comisiones acumuladas hasta ese momento.</w:t>
      </w:r>
    </w:p>
    <w:p w:rsidR="00C479C7" w:rsidRPr="00D414FB" w:rsidRDefault="00C479C7" w:rsidP="00AB484C">
      <w:pPr>
        <w:spacing w:after="0" w:line="240" w:lineRule="auto"/>
        <w:ind w:left="426"/>
        <w:jc w:val="both"/>
        <w:rPr>
          <w:rFonts w:ascii="Arial" w:hAnsi="Arial" w:cs="Arial"/>
          <w:lang w:val="es-NI"/>
        </w:rPr>
      </w:pPr>
    </w:p>
    <w:p w:rsidR="00A9224C" w:rsidRPr="00D414FB" w:rsidRDefault="00A9224C" w:rsidP="00C66AB7">
      <w:pPr>
        <w:tabs>
          <w:tab w:val="left" w:pos="-720"/>
          <w:tab w:val="left" w:pos="0"/>
          <w:tab w:val="left" w:pos="1080"/>
          <w:tab w:val="left" w:pos="1440"/>
        </w:tabs>
        <w:suppressAutoHyphens/>
        <w:spacing w:after="0" w:line="240" w:lineRule="auto"/>
        <w:ind w:left="851"/>
        <w:jc w:val="both"/>
        <w:rPr>
          <w:rFonts w:ascii="Arial" w:hAnsi="Arial" w:cs="Arial"/>
          <w:lang w:val="es-NI"/>
        </w:rPr>
      </w:pPr>
      <w:r w:rsidRPr="00D414FB">
        <w:rPr>
          <w:rFonts w:ascii="Arial" w:hAnsi="Arial" w:cs="Arial"/>
          <w:lang w:val="es-NI"/>
        </w:rPr>
        <w:t>En tanto el crédito se mantenga en cartera vencida, el control de los intereses devengados se llevará en cuentas de orden.  En caso de que dichos intereses vencidos sean cobrados (recuperados), se reconocerán directamente en los resultados del ejercicio como ingresos por intereses.</w:t>
      </w:r>
    </w:p>
    <w:p w:rsidR="00B1309C" w:rsidRPr="00D414FB" w:rsidRDefault="00B1309C" w:rsidP="00AB484C">
      <w:pPr>
        <w:tabs>
          <w:tab w:val="left" w:pos="-720"/>
          <w:tab w:val="left" w:pos="0"/>
          <w:tab w:val="left" w:pos="1080"/>
          <w:tab w:val="left" w:pos="1440"/>
        </w:tabs>
        <w:suppressAutoHyphens/>
        <w:spacing w:after="0" w:line="240" w:lineRule="auto"/>
        <w:ind w:left="426"/>
        <w:jc w:val="both"/>
        <w:rPr>
          <w:rFonts w:ascii="Arial" w:hAnsi="Arial" w:cs="Arial"/>
          <w:b/>
          <w:lang w:val="es-NI"/>
        </w:rPr>
      </w:pPr>
    </w:p>
    <w:p w:rsidR="00A9224C" w:rsidRPr="001F188A" w:rsidRDefault="00A9224C" w:rsidP="001F188A">
      <w:pPr>
        <w:pStyle w:val="Subttulo"/>
        <w:numPr>
          <w:ilvl w:val="2"/>
          <w:numId w:val="42"/>
        </w:numPr>
        <w:tabs>
          <w:tab w:val="left" w:pos="1134"/>
          <w:tab w:val="left" w:pos="1560"/>
        </w:tabs>
        <w:ind w:left="1276" w:hanging="425"/>
        <w:rPr>
          <w:rFonts w:ascii="Arial" w:hAnsi="Arial" w:cs="Arial"/>
          <w:b/>
          <w:color w:val="auto"/>
          <w:lang w:val="es-NI"/>
        </w:rPr>
      </w:pPr>
      <w:r w:rsidRPr="001F188A">
        <w:rPr>
          <w:rFonts w:ascii="Arial" w:hAnsi="Arial" w:cs="Arial"/>
          <w:b/>
          <w:color w:val="auto"/>
          <w:lang w:val="es-NI"/>
        </w:rPr>
        <w:t>Provisión para la Cartera de Crédito</w:t>
      </w:r>
    </w:p>
    <w:p w:rsidR="00A9224C" w:rsidRPr="00D414FB" w:rsidRDefault="00082546" w:rsidP="00C66AB7">
      <w:pPr>
        <w:pStyle w:val="Textoindependiente"/>
        <w:spacing w:after="0" w:line="240" w:lineRule="auto"/>
        <w:ind w:left="851"/>
        <w:jc w:val="both"/>
        <w:rPr>
          <w:rFonts w:ascii="Arial" w:hAnsi="Arial" w:cs="Arial"/>
          <w:lang w:val="es-NI"/>
        </w:rPr>
      </w:pPr>
      <w:r w:rsidRPr="00D414FB">
        <w:rPr>
          <w:rFonts w:ascii="Arial" w:hAnsi="Arial" w:cs="Arial"/>
          <w:lang w:val="es-NI"/>
        </w:rPr>
        <w:t>E</w:t>
      </w:r>
      <w:r w:rsidR="00A9224C" w:rsidRPr="00D414FB">
        <w:rPr>
          <w:rFonts w:ascii="Arial" w:hAnsi="Arial" w:cs="Arial"/>
          <w:lang w:val="es-NI"/>
        </w:rPr>
        <w:t xml:space="preserve">l monto de las provisiones de cartera de crédito se calcula con base en las disposiciones contenidas en </w:t>
      </w:r>
      <w:r w:rsidRPr="00D414FB">
        <w:rPr>
          <w:rFonts w:ascii="Arial" w:hAnsi="Arial" w:cs="Arial"/>
          <w:lang w:val="es-NI"/>
        </w:rPr>
        <w:t>normativa</w:t>
      </w:r>
      <w:r w:rsidR="00923BF2" w:rsidRPr="00D414FB">
        <w:rPr>
          <w:rFonts w:ascii="Arial" w:hAnsi="Arial" w:cs="Arial"/>
          <w:lang w:val="es-NI"/>
        </w:rPr>
        <w:t xml:space="preserve"> emitida por </w:t>
      </w:r>
      <w:r w:rsidR="00C70337">
        <w:rPr>
          <w:rFonts w:ascii="Arial" w:hAnsi="Arial" w:cs="Arial"/>
          <w:lang w:val="es-NI"/>
        </w:rPr>
        <w:t>la Superintendencia de Bancos;</w:t>
      </w:r>
    </w:p>
    <w:p w:rsidR="00453F5A" w:rsidRPr="00D414FB" w:rsidRDefault="00453F5A" w:rsidP="00AB484C">
      <w:pPr>
        <w:tabs>
          <w:tab w:val="left" w:pos="-720"/>
          <w:tab w:val="left" w:pos="0"/>
          <w:tab w:val="left" w:pos="1080"/>
          <w:tab w:val="left" w:pos="1440"/>
        </w:tabs>
        <w:suppressAutoHyphens/>
        <w:spacing w:after="0" w:line="240" w:lineRule="auto"/>
        <w:ind w:left="426"/>
        <w:jc w:val="both"/>
        <w:rPr>
          <w:rFonts w:ascii="Arial" w:hAnsi="Arial" w:cs="Arial"/>
          <w:lang w:val="es-NI"/>
        </w:rPr>
      </w:pPr>
    </w:p>
    <w:p w:rsidR="00A9224C" w:rsidRPr="00D414FB" w:rsidRDefault="00A9224C" w:rsidP="00C66AB7">
      <w:pPr>
        <w:tabs>
          <w:tab w:val="left" w:pos="-720"/>
          <w:tab w:val="left" w:pos="0"/>
          <w:tab w:val="left" w:pos="1080"/>
          <w:tab w:val="left" w:pos="1440"/>
        </w:tabs>
        <w:suppressAutoHyphens/>
        <w:spacing w:after="0" w:line="240" w:lineRule="auto"/>
        <w:ind w:left="851"/>
        <w:jc w:val="both"/>
        <w:rPr>
          <w:rFonts w:ascii="Arial" w:hAnsi="Arial" w:cs="Arial"/>
          <w:lang w:val="es-NI"/>
        </w:rPr>
      </w:pPr>
      <w:r w:rsidRPr="00D414FB">
        <w:rPr>
          <w:rFonts w:ascii="Arial" w:hAnsi="Arial" w:cs="Arial"/>
          <w:lang w:val="es-NI"/>
        </w:rPr>
        <w:t xml:space="preserve">La institución deberá evaluar periódicamente si un crédito vencido debe permanecer en el </w:t>
      </w:r>
      <w:r w:rsidR="00A21DEE" w:rsidRPr="00D414FB">
        <w:rPr>
          <w:rFonts w:ascii="Arial" w:hAnsi="Arial" w:cs="Arial"/>
          <w:lang w:val="es-NI"/>
        </w:rPr>
        <w:t>estado de situación financiera</w:t>
      </w:r>
      <w:r w:rsidRPr="00D414FB">
        <w:rPr>
          <w:rFonts w:ascii="Arial" w:hAnsi="Arial" w:cs="Arial"/>
          <w:lang w:val="es-NI"/>
        </w:rPr>
        <w:t>, o bien</w:t>
      </w:r>
      <w:r w:rsidR="00A21DEE" w:rsidRPr="00D414FB">
        <w:rPr>
          <w:rFonts w:ascii="Arial" w:hAnsi="Arial" w:cs="Arial"/>
          <w:lang w:val="es-NI"/>
        </w:rPr>
        <w:t xml:space="preserve"> dar de baja. Dicha baja</w:t>
      </w:r>
      <w:r w:rsidRPr="00D414FB">
        <w:rPr>
          <w:rFonts w:ascii="Arial" w:hAnsi="Arial" w:cs="Arial"/>
          <w:lang w:val="es-NI"/>
        </w:rPr>
        <w:t xml:space="preserve"> se realizará cancelando el saldo insoluto del crédito contra las provisiones para cartera de crédito. Cuando el crédito a </w:t>
      </w:r>
      <w:r w:rsidR="00A21DEE" w:rsidRPr="00D414FB">
        <w:rPr>
          <w:rFonts w:ascii="Arial" w:hAnsi="Arial" w:cs="Arial"/>
          <w:lang w:val="es-NI"/>
        </w:rPr>
        <w:t xml:space="preserve">dar de baja </w:t>
      </w:r>
      <w:r w:rsidRPr="00D414FB">
        <w:rPr>
          <w:rFonts w:ascii="Arial" w:hAnsi="Arial" w:cs="Arial"/>
          <w:lang w:val="es-NI"/>
        </w:rPr>
        <w:t xml:space="preserve">exceda el saldo de su provisión asociada, antes de efectuar </w:t>
      </w:r>
      <w:r w:rsidR="00906B0E" w:rsidRPr="00D414FB">
        <w:rPr>
          <w:rFonts w:ascii="Arial" w:hAnsi="Arial" w:cs="Arial"/>
          <w:lang w:val="es-NI"/>
        </w:rPr>
        <w:t>la baja</w:t>
      </w:r>
      <w:r w:rsidRPr="00D414FB">
        <w:rPr>
          <w:rFonts w:ascii="Arial" w:hAnsi="Arial" w:cs="Arial"/>
          <w:lang w:val="es-NI"/>
        </w:rPr>
        <w:t>, dicha provisión se deberá incrementar hasta por el monto de la diferencia afect</w:t>
      </w:r>
      <w:r w:rsidR="00C70337">
        <w:rPr>
          <w:rFonts w:ascii="Arial" w:hAnsi="Arial" w:cs="Arial"/>
          <w:lang w:val="es-NI"/>
        </w:rPr>
        <w:t>ando los resultados del período;</w:t>
      </w:r>
    </w:p>
    <w:p w:rsidR="00906B0E" w:rsidRPr="00D414FB" w:rsidRDefault="00906B0E" w:rsidP="00C66AB7">
      <w:pPr>
        <w:pStyle w:val="Textoindependiente"/>
        <w:spacing w:after="0" w:line="240" w:lineRule="auto"/>
        <w:ind w:left="851"/>
        <w:jc w:val="both"/>
        <w:rPr>
          <w:rFonts w:ascii="Arial" w:hAnsi="Arial" w:cs="Arial"/>
          <w:lang w:val="es-NI"/>
        </w:rPr>
      </w:pPr>
    </w:p>
    <w:p w:rsidR="00A9224C" w:rsidRPr="00D414FB" w:rsidRDefault="00A9224C" w:rsidP="00C66AB7">
      <w:pPr>
        <w:pStyle w:val="Textoindependiente"/>
        <w:spacing w:after="0" w:line="240" w:lineRule="auto"/>
        <w:ind w:left="851"/>
        <w:jc w:val="both"/>
        <w:rPr>
          <w:rFonts w:ascii="Arial" w:hAnsi="Arial" w:cs="Arial"/>
          <w:lang w:val="es-NI"/>
        </w:rPr>
      </w:pPr>
      <w:r w:rsidRPr="00D414FB">
        <w:rPr>
          <w:rFonts w:ascii="Arial" w:hAnsi="Arial" w:cs="Arial"/>
          <w:lang w:val="es-NI"/>
        </w:rPr>
        <w:t xml:space="preserve">Adicionalmente a lo establecido en el párrafo anterior, la institución podrá optar por eliminar de su activo aquellos créditos vencidos que se encuentren provisionados al 100%, aún y cuando no cumplan con las condiciones para ser </w:t>
      </w:r>
      <w:r w:rsidR="00906B0E" w:rsidRPr="00D414FB">
        <w:rPr>
          <w:rFonts w:ascii="Arial" w:hAnsi="Arial" w:cs="Arial"/>
          <w:lang w:val="es-NI"/>
        </w:rPr>
        <w:t>dados de baja</w:t>
      </w:r>
      <w:r w:rsidRPr="00D414FB">
        <w:rPr>
          <w:rFonts w:ascii="Arial" w:hAnsi="Arial" w:cs="Arial"/>
          <w:lang w:val="es-NI"/>
        </w:rPr>
        <w:t xml:space="preserve">. Para tales efectos, la institución deberá cancelar el saldo </w:t>
      </w:r>
      <w:r w:rsidR="004B67F9" w:rsidRPr="00D414FB">
        <w:rPr>
          <w:rFonts w:ascii="Arial" w:hAnsi="Arial" w:cs="Arial"/>
          <w:lang w:val="es-NI"/>
        </w:rPr>
        <w:t>insoluto del</w:t>
      </w:r>
      <w:r w:rsidRPr="00D414FB">
        <w:rPr>
          <w:rFonts w:ascii="Arial" w:hAnsi="Arial" w:cs="Arial"/>
          <w:lang w:val="es-NI"/>
        </w:rPr>
        <w:t xml:space="preserve"> crédito contra la estimación prev</w:t>
      </w:r>
      <w:r w:rsidR="00C70337">
        <w:rPr>
          <w:rFonts w:ascii="Arial" w:hAnsi="Arial" w:cs="Arial"/>
          <w:lang w:val="es-NI"/>
        </w:rPr>
        <w:t>entiva para riesgos crediticios;</w:t>
      </w:r>
    </w:p>
    <w:p w:rsidR="00A9224C" w:rsidRPr="00D414FB" w:rsidRDefault="00A9224C" w:rsidP="00C66AB7">
      <w:pPr>
        <w:tabs>
          <w:tab w:val="left" w:pos="-720"/>
          <w:tab w:val="left" w:pos="0"/>
          <w:tab w:val="left" w:pos="1080"/>
          <w:tab w:val="left" w:pos="1440"/>
        </w:tabs>
        <w:suppressAutoHyphens/>
        <w:spacing w:after="0" w:line="240" w:lineRule="auto"/>
        <w:ind w:left="851"/>
        <w:jc w:val="both"/>
        <w:rPr>
          <w:rFonts w:ascii="Arial" w:hAnsi="Arial" w:cs="Arial"/>
          <w:lang w:val="es-NI"/>
        </w:rPr>
      </w:pPr>
    </w:p>
    <w:p w:rsidR="00A9224C" w:rsidRPr="00D414FB" w:rsidRDefault="00A9224C" w:rsidP="00C66AB7">
      <w:pPr>
        <w:tabs>
          <w:tab w:val="left" w:pos="-720"/>
          <w:tab w:val="left" w:pos="0"/>
          <w:tab w:val="left" w:pos="1080"/>
          <w:tab w:val="left" w:pos="1440"/>
        </w:tabs>
        <w:suppressAutoHyphens/>
        <w:spacing w:after="0" w:line="240" w:lineRule="auto"/>
        <w:ind w:left="851"/>
        <w:jc w:val="both"/>
        <w:rPr>
          <w:rFonts w:ascii="Arial" w:hAnsi="Arial" w:cs="Arial"/>
          <w:b/>
          <w:lang w:val="es-NI"/>
        </w:rPr>
      </w:pPr>
      <w:r w:rsidRPr="00D414FB">
        <w:rPr>
          <w:rFonts w:ascii="Arial" w:hAnsi="Arial" w:cs="Arial"/>
          <w:lang w:val="es-NI"/>
        </w:rPr>
        <w:t xml:space="preserve">Cualquier recuperación derivada de operaciones crediticias previamente </w:t>
      </w:r>
      <w:r w:rsidR="00642A0A" w:rsidRPr="00D414FB">
        <w:rPr>
          <w:rFonts w:ascii="Arial" w:hAnsi="Arial" w:cs="Arial"/>
          <w:lang w:val="es-NI"/>
        </w:rPr>
        <w:t>dadas de baja</w:t>
      </w:r>
      <w:r w:rsidRPr="00D414FB">
        <w:rPr>
          <w:rFonts w:ascii="Arial" w:hAnsi="Arial" w:cs="Arial"/>
          <w:lang w:val="es-NI"/>
        </w:rPr>
        <w:t xml:space="preserve">, deberá reconocerse </w:t>
      </w:r>
      <w:r w:rsidR="00C70337">
        <w:rPr>
          <w:rFonts w:ascii="Arial" w:hAnsi="Arial" w:cs="Arial"/>
          <w:lang w:val="es-NI"/>
        </w:rPr>
        <w:t>en los resultados del ejercicio.</w:t>
      </w:r>
    </w:p>
    <w:p w:rsidR="00B1309C" w:rsidRPr="00D414FB" w:rsidRDefault="00B1309C" w:rsidP="00B1309C">
      <w:pPr>
        <w:pStyle w:val="Ttulo1"/>
        <w:numPr>
          <w:ilvl w:val="0"/>
          <w:numId w:val="0"/>
        </w:numPr>
        <w:ind w:left="547"/>
        <w:rPr>
          <w:lang w:val="es-NI"/>
        </w:rPr>
      </w:pPr>
    </w:p>
    <w:p w:rsidR="00A9224C" w:rsidRPr="001F188A" w:rsidRDefault="00A9224C" w:rsidP="00C66AB7">
      <w:pPr>
        <w:pStyle w:val="Subttulo"/>
        <w:numPr>
          <w:ilvl w:val="2"/>
          <w:numId w:val="42"/>
        </w:numPr>
        <w:tabs>
          <w:tab w:val="left" w:pos="851"/>
          <w:tab w:val="left" w:pos="1560"/>
        </w:tabs>
        <w:ind w:left="1134" w:hanging="283"/>
        <w:rPr>
          <w:rFonts w:ascii="Arial" w:hAnsi="Arial" w:cs="Arial"/>
          <w:b/>
          <w:color w:val="auto"/>
          <w:lang w:val="es-NI"/>
        </w:rPr>
      </w:pPr>
      <w:r w:rsidRPr="001F188A">
        <w:rPr>
          <w:rFonts w:ascii="Arial" w:hAnsi="Arial" w:cs="Arial"/>
          <w:b/>
          <w:color w:val="auto"/>
          <w:lang w:val="es-NI"/>
        </w:rPr>
        <w:t>Disminuciones, condonaciones, bonificaciones y descuentos sobre la cartera de créditos</w:t>
      </w:r>
    </w:p>
    <w:p w:rsidR="00A9224C" w:rsidRPr="00D414FB" w:rsidRDefault="00A9224C" w:rsidP="00C66AB7">
      <w:pPr>
        <w:pStyle w:val="Sangradetextonormal"/>
        <w:spacing w:after="0"/>
        <w:ind w:left="851"/>
        <w:jc w:val="both"/>
        <w:rPr>
          <w:rFonts w:ascii="Arial" w:hAnsi="Arial" w:cs="Arial"/>
          <w:sz w:val="22"/>
          <w:szCs w:val="22"/>
          <w:lang w:val="es-NI"/>
        </w:rPr>
      </w:pPr>
      <w:r w:rsidRPr="00D414FB">
        <w:rPr>
          <w:rFonts w:ascii="Arial" w:hAnsi="Arial" w:cs="Arial"/>
          <w:sz w:val="22"/>
          <w:szCs w:val="22"/>
          <w:lang w:val="es-NI"/>
        </w:rPr>
        <w:lastRenderedPageBreak/>
        <w:t>Las disminuciones, condonaciones, bonificaciones y descuentos se registrarán con cargo a las provisiones para créditos. En caso de que el importe de éstas exceda el saldo de la</w:t>
      </w:r>
      <w:r w:rsidR="003C75E3" w:rsidRPr="00D414FB">
        <w:rPr>
          <w:rFonts w:ascii="Arial" w:hAnsi="Arial" w:cs="Arial"/>
          <w:sz w:val="22"/>
          <w:szCs w:val="22"/>
          <w:lang w:val="es-NI"/>
        </w:rPr>
        <w:t xml:space="preserve"> </w:t>
      </w:r>
      <w:r w:rsidRPr="00D414FB">
        <w:rPr>
          <w:rFonts w:ascii="Arial" w:hAnsi="Arial" w:cs="Arial"/>
          <w:sz w:val="22"/>
          <w:szCs w:val="22"/>
          <w:lang w:val="es-NI"/>
        </w:rPr>
        <w:t>provisión asociada al crédito, previamente se deberán constituir provisiones adicionales hasta por el monto de la diferencia.</w:t>
      </w:r>
    </w:p>
    <w:p w:rsidR="00B1309C" w:rsidRPr="00D414FB" w:rsidRDefault="00B1309C" w:rsidP="00B1309C">
      <w:pPr>
        <w:pStyle w:val="Textoindependiente"/>
        <w:spacing w:after="0" w:line="240" w:lineRule="auto"/>
        <w:ind w:left="547"/>
        <w:rPr>
          <w:rFonts w:ascii="Arial" w:hAnsi="Arial" w:cs="Arial"/>
          <w:b/>
          <w:iCs/>
          <w:lang w:val="es-NI"/>
        </w:rPr>
      </w:pPr>
    </w:p>
    <w:p w:rsidR="00A9224C" w:rsidRPr="001F188A" w:rsidRDefault="00A9224C" w:rsidP="00C66AB7">
      <w:pPr>
        <w:pStyle w:val="Subttulo"/>
        <w:numPr>
          <w:ilvl w:val="2"/>
          <w:numId w:val="42"/>
        </w:numPr>
        <w:tabs>
          <w:tab w:val="left" w:pos="1134"/>
          <w:tab w:val="left" w:pos="1560"/>
        </w:tabs>
        <w:ind w:left="1134" w:hanging="283"/>
        <w:rPr>
          <w:rFonts w:ascii="Arial" w:hAnsi="Arial" w:cs="Arial"/>
          <w:b/>
          <w:color w:val="auto"/>
          <w:lang w:val="es-NI"/>
        </w:rPr>
      </w:pPr>
      <w:r w:rsidRPr="001F188A">
        <w:rPr>
          <w:rFonts w:ascii="Arial" w:hAnsi="Arial" w:cs="Arial"/>
          <w:b/>
          <w:color w:val="auto"/>
          <w:lang w:val="es-NI"/>
        </w:rPr>
        <w:t>Venta de cartera de créditos</w:t>
      </w:r>
    </w:p>
    <w:p w:rsidR="00A9224C" w:rsidRDefault="00A9224C" w:rsidP="00C66AB7">
      <w:pPr>
        <w:pStyle w:val="Textoindependiente"/>
        <w:spacing w:after="0" w:line="240" w:lineRule="auto"/>
        <w:ind w:left="851"/>
        <w:jc w:val="both"/>
        <w:rPr>
          <w:rFonts w:ascii="Arial" w:hAnsi="Arial" w:cs="Arial"/>
          <w:iCs/>
          <w:lang w:val="es-NI"/>
        </w:rPr>
      </w:pPr>
      <w:r w:rsidRPr="00D414FB">
        <w:rPr>
          <w:rFonts w:ascii="Arial" w:hAnsi="Arial" w:cs="Arial"/>
          <w:iCs/>
          <w:lang w:val="es-NI"/>
        </w:rPr>
        <w:t>En los casos en que se lleve a cabo la venta de la cartera de créditos, se deberá cancelar la provisión asociada a la misma.</w:t>
      </w:r>
    </w:p>
    <w:p w:rsidR="006B5CFB" w:rsidRPr="00D414FB" w:rsidRDefault="006B5CFB" w:rsidP="00C66AB7">
      <w:pPr>
        <w:pStyle w:val="Textoindependiente"/>
        <w:spacing w:after="0" w:line="240" w:lineRule="auto"/>
        <w:ind w:left="851"/>
        <w:jc w:val="both"/>
        <w:rPr>
          <w:rFonts w:ascii="Arial" w:hAnsi="Arial" w:cs="Arial"/>
          <w:b/>
          <w:lang w:val="es-NI"/>
        </w:rPr>
      </w:pPr>
    </w:p>
    <w:p w:rsidR="00A9224C" w:rsidRPr="001F188A" w:rsidRDefault="00A9224C" w:rsidP="009764E9">
      <w:pPr>
        <w:pStyle w:val="Subttulo"/>
        <w:numPr>
          <w:ilvl w:val="2"/>
          <w:numId w:val="42"/>
        </w:numPr>
        <w:tabs>
          <w:tab w:val="left" w:pos="1134"/>
          <w:tab w:val="left" w:pos="1560"/>
        </w:tabs>
        <w:ind w:left="1134" w:hanging="283"/>
        <w:rPr>
          <w:rFonts w:ascii="Arial" w:hAnsi="Arial" w:cs="Arial"/>
          <w:b/>
          <w:color w:val="auto"/>
          <w:lang w:val="es-NI"/>
        </w:rPr>
      </w:pPr>
      <w:r w:rsidRPr="001F188A">
        <w:rPr>
          <w:rFonts w:ascii="Arial" w:hAnsi="Arial" w:cs="Arial"/>
          <w:b/>
          <w:color w:val="auto"/>
          <w:lang w:val="es-NI"/>
        </w:rPr>
        <w:t>Traspaso a cartera de créditos vigentes</w:t>
      </w:r>
    </w:p>
    <w:p w:rsidR="00A9224C" w:rsidRDefault="00A9224C" w:rsidP="009764E9">
      <w:pPr>
        <w:pStyle w:val="Textoindependiente"/>
        <w:spacing w:after="0" w:line="240" w:lineRule="auto"/>
        <w:ind w:left="851"/>
        <w:jc w:val="both"/>
        <w:rPr>
          <w:rFonts w:ascii="Arial" w:hAnsi="Arial" w:cs="Arial"/>
          <w:lang w:val="es-NI"/>
        </w:rPr>
      </w:pPr>
      <w:r w:rsidRPr="00D414FB">
        <w:rPr>
          <w:rFonts w:ascii="Arial" w:hAnsi="Arial" w:cs="Arial"/>
          <w:lang w:val="es-NI"/>
        </w:rPr>
        <w:t xml:space="preserve">Se reclasificarán a cartera de créditos vigentes, los créditos vencidos en los que se liquiden totalmente los saldos pendientes de pago (principal e intereses, entre otros) que cumplan con los criterios de reclasificación </w:t>
      </w:r>
      <w:r w:rsidR="002819A2" w:rsidRPr="00D414FB">
        <w:rPr>
          <w:rFonts w:ascii="Arial" w:hAnsi="Arial" w:cs="Arial"/>
          <w:lang w:val="es-NI"/>
        </w:rPr>
        <w:t xml:space="preserve">establecidos </w:t>
      </w:r>
      <w:r w:rsidRPr="00D414FB">
        <w:rPr>
          <w:rFonts w:ascii="Arial" w:hAnsi="Arial" w:cs="Arial"/>
          <w:lang w:val="es-NI"/>
        </w:rPr>
        <w:t>en la</w:t>
      </w:r>
      <w:r w:rsidR="00082546" w:rsidRPr="00D414FB">
        <w:rPr>
          <w:rFonts w:ascii="Arial" w:hAnsi="Arial" w:cs="Arial"/>
          <w:lang w:val="es-NI"/>
        </w:rPr>
        <w:t xml:space="preserve"> normativa emitida por la Superintendencia de Bancos</w:t>
      </w:r>
      <w:r w:rsidRPr="00D414FB">
        <w:rPr>
          <w:rFonts w:ascii="Arial" w:hAnsi="Arial" w:cs="Arial"/>
          <w:lang w:val="es-NI"/>
        </w:rPr>
        <w:t>.</w:t>
      </w:r>
    </w:p>
    <w:p w:rsidR="00B33B5E" w:rsidRPr="00D414FB" w:rsidRDefault="00B33B5E" w:rsidP="007C2B07">
      <w:pPr>
        <w:pStyle w:val="Textoindependiente"/>
        <w:spacing w:after="0" w:line="240" w:lineRule="auto"/>
        <w:ind w:left="1013"/>
        <w:jc w:val="both"/>
        <w:rPr>
          <w:rFonts w:ascii="Arial" w:hAnsi="Arial" w:cs="Arial"/>
          <w:lang w:val="es-NI"/>
        </w:rPr>
      </w:pPr>
    </w:p>
    <w:p w:rsidR="00B33B5E" w:rsidRPr="00CF1D18" w:rsidRDefault="00DF62F5" w:rsidP="009764E9">
      <w:pPr>
        <w:pStyle w:val="Numerales"/>
        <w:tabs>
          <w:tab w:val="clear" w:pos="540"/>
          <w:tab w:val="num" w:pos="567"/>
        </w:tabs>
        <w:ind w:left="567" w:hanging="283"/>
      </w:pPr>
      <w:bookmarkStart w:id="5" w:name="_Toc516736957"/>
      <w:r>
        <w:t xml:space="preserve">OTRAS </w:t>
      </w:r>
      <w:r w:rsidR="00B33B5E" w:rsidRPr="000154E6">
        <w:t>CUENTAS POR COBRAR</w:t>
      </w:r>
      <w:bookmarkEnd w:id="5"/>
    </w:p>
    <w:p w:rsidR="00DC5740" w:rsidRPr="00D414FB" w:rsidRDefault="00DC5740" w:rsidP="008D0FBF">
      <w:pPr>
        <w:pStyle w:val="Sangradetextonormal"/>
        <w:spacing w:after="0"/>
        <w:ind w:left="547"/>
        <w:jc w:val="both"/>
        <w:rPr>
          <w:rFonts w:ascii="Arial" w:hAnsi="Arial" w:cs="Arial"/>
          <w:sz w:val="22"/>
          <w:szCs w:val="22"/>
          <w:lang w:val="es-NI"/>
        </w:rPr>
      </w:pPr>
    </w:p>
    <w:p w:rsidR="000827F7" w:rsidRPr="00D414FB" w:rsidRDefault="00716BDA" w:rsidP="009764E9">
      <w:pPr>
        <w:spacing w:line="240" w:lineRule="atLeast"/>
        <w:ind w:left="567"/>
        <w:jc w:val="both"/>
        <w:rPr>
          <w:rFonts w:ascii="Arial" w:eastAsiaTheme="minorHAnsi" w:hAnsi="Arial" w:cs="Arial"/>
          <w:lang w:val="es-NI"/>
        </w:rPr>
      </w:pPr>
      <w:r w:rsidRPr="00D414FB">
        <w:rPr>
          <w:rFonts w:ascii="Arial" w:hAnsi="Arial" w:cs="Arial"/>
          <w:lang w:val="es-NI"/>
        </w:rPr>
        <w:t>L</w:t>
      </w:r>
      <w:r w:rsidR="000827F7" w:rsidRPr="00D414FB">
        <w:rPr>
          <w:rFonts w:ascii="Arial" w:hAnsi="Arial" w:cs="Arial"/>
          <w:lang w:val="es-NI"/>
        </w:rPr>
        <w:t xml:space="preserve">os saldos de </w:t>
      </w:r>
      <w:r w:rsidR="00DF62F5">
        <w:rPr>
          <w:rFonts w:ascii="Arial" w:hAnsi="Arial" w:cs="Arial"/>
          <w:lang w:val="es-NI"/>
        </w:rPr>
        <w:t xml:space="preserve">otras </w:t>
      </w:r>
      <w:r w:rsidR="000827F7" w:rsidRPr="00D414FB">
        <w:rPr>
          <w:rFonts w:ascii="Arial" w:hAnsi="Arial" w:cs="Arial"/>
          <w:lang w:val="es-NI"/>
        </w:rPr>
        <w:t xml:space="preserve">cuentas por cobrar representan derechos adquiridos no generados por la cartera de créditos, así como los intereses y </w:t>
      </w:r>
      <w:r w:rsidR="00C70337">
        <w:rPr>
          <w:rFonts w:ascii="Arial" w:hAnsi="Arial" w:cs="Arial"/>
          <w:lang w:val="es-NI"/>
        </w:rPr>
        <w:t>comisiones de las mismas;</w:t>
      </w:r>
    </w:p>
    <w:p w:rsidR="00BF3490" w:rsidRPr="00D414FB" w:rsidRDefault="00BF3490" w:rsidP="009764E9">
      <w:pPr>
        <w:pStyle w:val="Sangradetextonormal"/>
        <w:spacing w:after="0"/>
        <w:ind w:left="567"/>
        <w:jc w:val="both"/>
        <w:rPr>
          <w:rFonts w:ascii="Arial" w:hAnsi="Arial" w:cs="Arial"/>
          <w:sz w:val="22"/>
          <w:szCs w:val="22"/>
          <w:lang w:val="es-NI"/>
        </w:rPr>
      </w:pPr>
      <w:r w:rsidRPr="00D414FB">
        <w:rPr>
          <w:rFonts w:ascii="Arial" w:hAnsi="Arial" w:cs="Arial"/>
          <w:sz w:val="22"/>
          <w:szCs w:val="22"/>
          <w:lang w:val="es-NI"/>
        </w:rPr>
        <w:t xml:space="preserve">El registro inicial es a valor nominal, posterior se mide devengando intereses según </w:t>
      </w:r>
      <w:r w:rsidR="000C6A0D" w:rsidRPr="00D414FB">
        <w:rPr>
          <w:rFonts w:ascii="Arial" w:hAnsi="Arial" w:cs="Arial"/>
          <w:sz w:val="22"/>
          <w:szCs w:val="22"/>
          <w:lang w:val="es-NI"/>
        </w:rPr>
        <w:t>aplique, menos</w:t>
      </w:r>
      <w:r w:rsidRPr="00D414FB">
        <w:rPr>
          <w:rFonts w:ascii="Arial" w:hAnsi="Arial" w:cs="Arial"/>
          <w:sz w:val="22"/>
          <w:szCs w:val="22"/>
          <w:lang w:val="es-NI"/>
        </w:rPr>
        <w:t xml:space="preserve"> amortizaciones y provisiones por incobrabilidad.</w:t>
      </w:r>
    </w:p>
    <w:p w:rsidR="000827F7" w:rsidRDefault="000827F7" w:rsidP="008D0FBF">
      <w:pPr>
        <w:pStyle w:val="Sangradetextonormal"/>
        <w:spacing w:after="0"/>
        <w:ind w:left="547"/>
        <w:jc w:val="both"/>
        <w:rPr>
          <w:rFonts w:ascii="Arial" w:hAnsi="Arial" w:cs="Arial"/>
          <w:sz w:val="22"/>
          <w:szCs w:val="22"/>
          <w:lang w:val="es-NI"/>
        </w:rPr>
      </w:pPr>
    </w:p>
    <w:p w:rsidR="004D55F9" w:rsidRPr="004D4995" w:rsidRDefault="008907EE" w:rsidP="009764E9">
      <w:pPr>
        <w:pStyle w:val="Numerales"/>
        <w:tabs>
          <w:tab w:val="clear" w:pos="540"/>
          <w:tab w:val="num" w:pos="567"/>
        </w:tabs>
        <w:ind w:left="567" w:hanging="283"/>
      </w:pPr>
      <w:bookmarkStart w:id="6" w:name="_Toc516736958"/>
      <w:r w:rsidRPr="004D4995">
        <w:t>ACTIVOS RECIBIDOS EN RECUPERACIÓN DE CRÉDITOS</w:t>
      </w:r>
      <w:bookmarkEnd w:id="6"/>
    </w:p>
    <w:p w:rsidR="00025F20" w:rsidRPr="00D414FB" w:rsidRDefault="00025F20" w:rsidP="00B1309C">
      <w:pPr>
        <w:pStyle w:val="Textoindependiente"/>
        <w:spacing w:after="0" w:line="240" w:lineRule="auto"/>
        <w:ind w:left="547"/>
        <w:jc w:val="both"/>
        <w:rPr>
          <w:rFonts w:ascii="Arial" w:hAnsi="Arial" w:cs="Arial"/>
          <w:lang w:val="es-NI"/>
        </w:rPr>
      </w:pPr>
    </w:p>
    <w:p w:rsidR="002E2F17" w:rsidRPr="00D414FB" w:rsidRDefault="00754821" w:rsidP="006B4C5E">
      <w:pPr>
        <w:pStyle w:val="Sangradetextonormal"/>
        <w:spacing w:after="0"/>
        <w:ind w:left="547"/>
        <w:jc w:val="both"/>
        <w:rPr>
          <w:rFonts w:ascii="Arial" w:hAnsi="Arial" w:cs="Arial"/>
          <w:sz w:val="22"/>
          <w:szCs w:val="22"/>
          <w:lang w:val="es-NI"/>
        </w:rPr>
      </w:pPr>
      <w:r w:rsidRPr="00D414FB">
        <w:rPr>
          <w:rFonts w:ascii="Arial" w:hAnsi="Arial" w:cs="Arial"/>
          <w:sz w:val="22"/>
          <w:szCs w:val="22"/>
          <w:lang w:val="es-NI"/>
        </w:rPr>
        <w:t>Para los a</w:t>
      </w:r>
      <w:r w:rsidR="00025F20" w:rsidRPr="00D414FB">
        <w:rPr>
          <w:rFonts w:ascii="Arial" w:hAnsi="Arial" w:cs="Arial"/>
          <w:sz w:val="22"/>
          <w:szCs w:val="22"/>
          <w:lang w:val="es-NI"/>
        </w:rPr>
        <w:t>ctivos recibidos en recuperación de créditos: el tratamiento contable será conforme a</w:t>
      </w:r>
      <w:r w:rsidR="000D3A50" w:rsidRPr="00D414FB">
        <w:rPr>
          <w:rFonts w:ascii="Arial" w:hAnsi="Arial" w:cs="Arial"/>
          <w:sz w:val="22"/>
          <w:szCs w:val="22"/>
          <w:lang w:val="es-NI"/>
        </w:rPr>
        <w:t xml:space="preserve"> las</w:t>
      </w:r>
      <w:r w:rsidR="00025F20" w:rsidRPr="00D414FB">
        <w:rPr>
          <w:rFonts w:ascii="Arial" w:hAnsi="Arial" w:cs="Arial"/>
          <w:sz w:val="22"/>
          <w:szCs w:val="22"/>
          <w:lang w:val="es-NI"/>
        </w:rPr>
        <w:t xml:space="preserve"> norma</w:t>
      </w:r>
      <w:r w:rsidR="000D3A50" w:rsidRPr="00D414FB">
        <w:rPr>
          <w:rFonts w:ascii="Arial" w:hAnsi="Arial" w:cs="Arial"/>
          <w:sz w:val="22"/>
          <w:szCs w:val="22"/>
          <w:lang w:val="es-NI"/>
        </w:rPr>
        <w:t>s</w:t>
      </w:r>
      <w:r w:rsidR="00025F20" w:rsidRPr="00D414FB">
        <w:rPr>
          <w:rFonts w:ascii="Arial" w:hAnsi="Arial" w:cs="Arial"/>
          <w:sz w:val="22"/>
          <w:szCs w:val="22"/>
          <w:lang w:val="es-NI"/>
        </w:rPr>
        <w:t xml:space="preserve"> </w:t>
      </w:r>
      <w:r w:rsidR="00C2163F" w:rsidRPr="00D414FB">
        <w:rPr>
          <w:rFonts w:ascii="Arial" w:hAnsi="Arial" w:cs="Arial"/>
          <w:sz w:val="22"/>
          <w:szCs w:val="22"/>
          <w:lang w:val="es-NI"/>
        </w:rPr>
        <w:t>emitida</w:t>
      </w:r>
      <w:r w:rsidR="007623F5">
        <w:rPr>
          <w:rFonts w:ascii="Arial" w:hAnsi="Arial" w:cs="Arial"/>
          <w:sz w:val="22"/>
          <w:szCs w:val="22"/>
          <w:lang w:val="es-NI"/>
        </w:rPr>
        <w:t>s</w:t>
      </w:r>
      <w:r w:rsidR="00C2163F" w:rsidRPr="00D414FB">
        <w:rPr>
          <w:rFonts w:ascii="Arial" w:hAnsi="Arial" w:cs="Arial"/>
          <w:sz w:val="22"/>
          <w:szCs w:val="22"/>
          <w:lang w:val="es-NI"/>
        </w:rPr>
        <w:t xml:space="preserve"> por </w:t>
      </w:r>
      <w:r w:rsidR="00025F20" w:rsidRPr="00D414FB">
        <w:rPr>
          <w:rFonts w:ascii="Arial" w:hAnsi="Arial" w:cs="Arial"/>
          <w:sz w:val="22"/>
          <w:szCs w:val="22"/>
          <w:lang w:val="es-NI"/>
        </w:rPr>
        <w:t>la S</w:t>
      </w:r>
      <w:r w:rsidR="00C2163F" w:rsidRPr="00D414FB">
        <w:rPr>
          <w:rFonts w:ascii="Arial" w:hAnsi="Arial" w:cs="Arial"/>
          <w:sz w:val="22"/>
          <w:szCs w:val="22"/>
          <w:lang w:val="es-NI"/>
        </w:rPr>
        <w:t>uperintendencia de Bancos</w:t>
      </w:r>
      <w:r w:rsidR="00025F20" w:rsidRPr="00D414FB">
        <w:rPr>
          <w:rFonts w:ascii="Arial" w:hAnsi="Arial" w:cs="Arial"/>
          <w:sz w:val="22"/>
          <w:szCs w:val="22"/>
          <w:lang w:val="es-NI"/>
        </w:rPr>
        <w:t xml:space="preserve"> o bien </w:t>
      </w:r>
      <w:r w:rsidR="002E2F17" w:rsidRPr="00693965">
        <w:rPr>
          <w:rFonts w:ascii="Arial" w:hAnsi="Arial" w:cs="Arial"/>
          <w:sz w:val="22"/>
          <w:szCs w:val="22"/>
          <w:lang w:val="es-NI"/>
        </w:rPr>
        <w:t>aplicando</w:t>
      </w:r>
      <w:r w:rsidR="00984ED1">
        <w:rPr>
          <w:rFonts w:ascii="Arial" w:hAnsi="Arial" w:cs="Arial"/>
          <w:sz w:val="22"/>
          <w:szCs w:val="22"/>
          <w:lang w:val="es-NI"/>
        </w:rPr>
        <w:t xml:space="preserve"> los principios </w:t>
      </w:r>
      <w:r w:rsidR="000C6A0D">
        <w:rPr>
          <w:rFonts w:ascii="Arial" w:hAnsi="Arial" w:cs="Arial"/>
          <w:sz w:val="22"/>
          <w:szCs w:val="22"/>
          <w:lang w:val="es-NI"/>
        </w:rPr>
        <w:t xml:space="preserve">de </w:t>
      </w:r>
      <w:r w:rsidR="000C6A0D" w:rsidRPr="00693965">
        <w:rPr>
          <w:rFonts w:ascii="Arial" w:hAnsi="Arial" w:cs="Arial"/>
          <w:sz w:val="22"/>
          <w:szCs w:val="22"/>
          <w:lang w:val="es-NI"/>
        </w:rPr>
        <w:t>NIIF</w:t>
      </w:r>
      <w:r w:rsidR="00025F20" w:rsidRPr="00693965">
        <w:rPr>
          <w:rFonts w:ascii="Arial" w:hAnsi="Arial" w:cs="Arial"/>
          <w:sz w:val="22"/>
          <w:szCs w:val="22"/>
          <w:lang w:val="es-NI"/>
        </w:rPr>
        <w:t xml:space="preserve"> 5 Activos No Corrientes Mantenidos para la Venta</w:t>
      </w:r>
      <w:r w:rsidR="002E2F17" w:rsidRPr="00D414FB">
        <w:rPr>
          <w:rFonts w:ascii="Arial" w:hAnsi="Arial" w:cs="Arial"/>
          <w:sz w:val="22"/>
          <w:szCs w:val="22"/>
          <w:lang w:val="es-NI"/>
        </w:rPr>
        <w:t xml:space="preserve">. </w:t>
      </w:r>
    </w:p>
    <w:p w:rsidR="00991A5E" w:rsidRDefault="00991A5E" w:rsidP="00B1309C">
      <w:pPr>
        <w:pStyle w:val="Textoindependiente"/>
        <w:spacing w:after="0" w:line="240" w:lineRule="auto"/>
        <w:ind w:left="547"/>
        <w:jc w:val="both"/>
        <w:rPr>
          <w:rFonts w:ascii="Arial" w:hAnsi="Arial" w:cs="Arial"/>
          <w:lang w:val="es-NI"/>
        </w:rPr>
      </w:pPr>
    </w:p>
    <w:p w:rsidR="00565239" w:rsidRPr="004D4995" w:rsidRDefault="00565239" w:rsidP="009764E9">
      <w:pPr>
        <w:pStyle w:val="Romanos"/>
        <w:tabs>
          <w:tab w:val="clear" w:pos="540"/>
        </w:tabs>
        <w:ind w:left="567" w:hanging="567"/>
      </w:pPr>
      <w:bookmarkStart w:id="7" w:name="_Toc516736959"/>
      <w:r w:rsidRPr="004D4995">
        <w:t>NOTAS A LOS ESTADOS FINANCIEROS</w:t>
      </w:r>
      <w:bookmarkEnd w:id="7"/>
    </w:p>
    <w:p w:rsidR="00565239" w:rsidRPr="00A01541" w:rsidRDefault="00565239" w:rsidP="00B1309C">
      <w:pPr>
        <w:pStyle w:val="Textoindependiente"/>
        <w:spacing w:after="0" w:line="240" w:lineRule="auto"/>
        <w:ind w:left="547"/>
        <w:jc w:val="both"/>
        <w:rPr>
          <w:rFonts w:ascii="Arial" w:hAnsi="Arial" w:cs="Arial"/>
          <w:b/>
          <w:lang w:val="es-MX"/>
        </w:rPr>
      </w:pPr>
    </w:p>
    <w:p w:rsidR="00565239" w:rsidRPr="00B6597F" w:rsidRDefault="00565239" w:rsidP="009764E9">
      <w:pPr>
        <w:ind w:left="540"/>
        <w:jc w:val="both"/>
        <w:rPr>
          <w:rFonts w:ascii="Arial" w:hAnsi="Arial" w:cs="Arial"/>
          <w:lang w:val="es-NI"/>
        </w:rPr>
      </w:pPr>
      <w:r w:rsidRPr="00B6597F">
        <w:rPr>
          <w:rFonts w:ascii="Arial" w:hAnsi="Arial" w:cs="Arial"/>
          <w:lang w:val="es-NI"/>
        </w:rPr>
        <w:t xml:space="preserve">En los </w:t>
      </w:r>
      <w:r>
        <w:rPr>
          <w:rFonts w:ascii="Arial" w:hAnsi="Arial" w:cs="Arial"/>
          <w:lang w:val="es-NI"/>
        </w:rPr>
        <w:t xml:space="preserve">casos no previstos </w:t>
      </w:r>
      <w:r w:rsidRPr="00B6597F">
        <w:rPr>
          <w:rFonts w:ascii="Arial" w:hAnsi="Arial" w:cs="Arial"/>
          <w:lang w:val="es-NI"/>
        </w:rPr>
        <w:t xml:space="preserve">en </w:t>
      </w:r>
      <w:r>
        <w:rPr>
          <w:rFonts w:ascii="Arial" w:hAnsi="Arial" w:cs="Arial"/>
          <w:lang w:val="es-NI"/>
        </w:rPr>
        <w:t xml:space="preserve">estas </w:t>
      </w:r>
      <w:r w:rsidRPr="00B6597F">
        <w:rPr>
          <w:rFonts w:ascii="Arial" w:hAnsi="Arial" w:cs="Arial"/>
          <w:lang w:val="es-NI"/>
        </w:rPr>
        <w:t>reglas de revelación, se aplicarán las</w:t>
      </w:r>
      <w:r w:rsidRPr="00B6597F">
        <w:rPr>
          <w:rFonts w:ascii="Arial" w:eastAsia="Times New Roman" w:hAnsi="Arial" w:cs="Arial"/>
          <w:lang w:val="es-NI"/>
        </w:rPr>
        <w:t xml:space="preserve"> </w:t>
      </w:r>
      <w:r w:rsidRPr="00B6597F">
        <w:rPr>
          <w:rFonts w:ascii="Arial" w:hAnsi="Arial" w:cs="Arial"/>
          <w:lang w:val="es-NI"/>
        </w:rPr>
        <w:t xml:space="preserve">Normas Internacionales de Información Financiera </w:t>
      </w:r>
      <w:r>
        <w:rPr>
          <w:rFonts w:ascii="Arial" w:hAnsi="Arial" w:cs="Arial"/>
          <w:lang w:val="es-NI"/>
        </w:rPr>
        <w:t>(NIIF</w:t>
      </w:r>
      <w:r w:rsidRPr="00B6597F">
        <w:rPr>
          <w:rFonts w:ascii="Arial" w:hAnsi="Arial" w:cs="Arial"/>
          <w:lang w:val="es-NI"/>
        </w:rPr>
        <w:t>).</w:t>
      </w:r>
    </w:p>
    <w:p w:rsidR="00565239" w:rsidRPr="00D62425" w:rsidRDefault="00565239" w:rsidP="00E71396">
      <w:pPr>
        <w:pStyle w:val="Numerales"/>
        <w:numPr>
          <w:ilvl w:val="0"/>
          <w:numId w:val="47"/>
        </w:numPr>
        <w:tabs>
          <w:tab w:val="clear" w:pos="540"/>
        </w:tabs>
        <w:ind w:left="567" w:hanging="283"/>
      </w:pPr>
      <w:bookmarkStart w:id="8" w:name="_Toc494460992"/>
      <w:bookmarkStart w:id="9" w:name="_Toc516736960"/>
      <w:bookmarkStart w:id="10" w:name="_Toc494294961"/>
      <w:r w:rsidRPr="00D62425">
        <w:t>INVERSIONES EN INSTRUMENTOS FINANCIEROS</w:t>
      </w:r>
      <w:bookmarkEnd w:id="8"/>
      <w:bookmarkEnd w:id="9"/>
    </w:p>
    <w:p w:rsidR="00565239" w:rsidRDefault="00565239" w:rsidP="00565239">
      <w:pPr>
        <w:pStyle w:val="Arely2"/>
        <w:numPr>
          <w:ilvl w:val="0"/>
          <w:numId w:val="0"/>
        </w:numPr>
        <w:ind w:left="576"/>
      </w:pPr>
    </w:p>
    <w:p w:rsidR="00565239" w:rsidRDefault="009764E9" w:rsidP="009764E9">
      <w:pPr>
        <w:tabs>
          <w:tab w:val="left" w:pos="-720"/>
          <w:tab w:val="left" w:pos="0"/>
          <w:tab w:val="left" w:pos="567"/>
          <w:tab w:val="left" w:pos="900"/>
        </w:tabs>
        <w:suppressAutoHyphens/>
        <w:spacing w:after="0" w:line="240" w:lineRule="atLeast"/>
        <w:jc w:val="both"/>
        <w:rPr>
          <w:rFonts w:ascii="Arial" w:hAnsi="Arial" w:cs="Arial"/>
          <w:bCs/>
          <w:lang w:val="es-NI"/>
        </w:rPr>
      </w:pPr>
      <w:r>
        <w:rPr>
          <w:rFonts w:ascii="Arial" w:hAnsi="Arial" w:cs="Arial"/>
          <w:bCs/>
          <w:lang w:val="es-NI"/>
        </w:rPr>
        <w:tab/>
      </w:r>
      <w:r w:rsidR="00565239" w:rsidRPr="00A110D5">
        <w:rPr>
          <w:rFonts w:ascii="Arial" w:hAnsi="Arial" w:cs="Arial"/>
          <w:bCs/>
          <w:lang w:val="es-NI"/>
        </w:rPr>
        <w:t>Revelar la siguiente información:</w:t>
      </w:r>
    </w:p>
    <w:p w:rsidR="00565239" w:rsidRDefault="00565239" w:rsidP="00565239">
      <w:pPr>
        <w:tabs>
          <w:tab w:val="left" w:pos="-720"/>
          <w:tab w:val="left" w:pos="0"/>
          <w:tab w:val="left" w:pos="900"/>
        </w:tabs>
        <w:suppressAutoHyphens/>
        <w:spacing w:after="0" w:line="240" w:lineRule="atLeast"/>
        <w:jc w:val="both"/>
        <w:rPr>
          <w:rFonts w:ascii="Arial" w:hAnsi="Arial" w:cs="Arial"/>
          <w:bCs/>
          <w:lang w:val="es-NI"/>
        </w:rPr>
      </w:pPr>
    </w:p>
    <w:p w:rsidR="009764E9"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9764E9">
        <w:rPr>
          <w:rFonts w:ascii="Arial" w:hAnsi="Arial" w:cs="Arial"/>
          <w:bCs/>
          <w:lang w:val="es-NI"/>
        </w:rPr>
        <w:t>La descripción de las políticas de administración de riesgo, así como el análisis sobre los riesgos a los que está expuesta la Institución bajo su propia perspectiva;</w:t>
      </w:r>
      <w:r w:rsidR="009764E9" w:rsidRPr="009764E9">
        <w:rPr>
          <w:rFonts w:ascii="Arial" w:hAnsi="Arial" w:cs="Arial"/>
          <w:bCs/>
          <w:lang w:val="es-NI"/>
        </w:rPr>
        <w:t xml:space="preserve"> </w:t>
      </w:r>
    </w:p>
    <w:p w:rsidR="00A01541" w:rsidRDefault="00A01541" w:rsidP="00A01541">
      <w:pPr>
        <w:tabs>
          <w:tab w:val="left" w:pos="-720"/>
          <w:tab w:val="left" w:pos="0"/>
          <w:tab w:val="left" w:pos="993"/>
        </w:tabs>
        <w:suppressAutoHyphens/>
        <w:spacing w:after="0" w:line="240" w:lineRule="atLeast"/>
        <w:ind w:left="993"/>
        <w:jc w:val="both"/>
        <w:rPr>
          <w:rFonts w:ascii="Arial" w:hAnsi="Arial" w:cs="Arial"/>
          <w:bCs/>
          <w:lang w:val="es-NI"/>
        </w:rPr>
      </w:pPr>
    </w:p>
    <w:p w:rsidR="00565239" w:rsidRPr="009764E9"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9764E9">
        <w:rPr>
          <w:rFonts w:ascii="Arial" w:hAnsi="Arial" w:cs="Arial"/>
          <w:bCs/>
          <w:lang w:val="es-NI"/>
        </w:rPr>
        <w:t>La composición de cada una de las categorías por tipo de instrumento, así como los criterios con base en los cuales clasificaron las inversiones;</w:t>
      </w:r>
    </w:p>
    <w:p w:rsidR="00565239" w:rsidRPr="00F87B2D" w:rsidRDefault="00565239" w:rsidP="009764E9">
      <w:pPr>
        <w:tabs>
          <w:tab w:val="left" w:pos="-720"/>
          <w:tab w:val="left" w:pos="0"/>
          <w:tab w:val="left" w:pos="900"/>
        </w:tabs>
        <w:suppressAutoHyphens/>
        <w:spacing w:after="0" w:line="240" w:lineRule="atLeast"/>
        <w:ind w:left="993" w:hanging="284"/>
        <w:jc w:val="both"/>
        <w:rPr>
          <w:rFonts w:ascii="Arial" w:hAnsi="Arial" w:cs="Arial"/>
          <w:bCs/>
          <w:lang w:val="es-NI"/>
        </w:rPr>
      </w:pPr>
    </w:p>
    <w:p w:rsidR="00565239" w:rsidRPr="00F87B2D"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F87B2D">
        <w:rPr>
          <w:rFonts w:ascii="Arial" w:hAnsi="Arial" w:cs="Arial"/>
          <w:bCs/>
          <w:lang w:val="es-NI"/>
        </w:rPr>
        <w:t>Información acerca de los plazos de cada tipo de inversión;</w:t>
      </w:r>
    </w:p>
    <w:p w:rsidR="00565239" w:rsidRPr="00F87B2D" w:rsidRDefault="00565239" w:rsidP="009764E9">
      <w:pPr>
        <w:tabs>
          <w:tab w:val="left" w:pos="-720"/>
          <w:tab w:val="left" w:pos="0"/>
          <w:tab w:val="left" w:pos="900"/>
        </w:tabs>
        <w:suppressAutoHyphens/>
        <w:spacing w:after="0" w:line="240" w:lineRule="atLeast"/>
        <w:ind w:left="993" w:hanging="284"/>
        <w:jc w:val="both"/>
        <w:rPr>
          <w:rFonts w:ascii="Arial" w:hAnsi="Arial" w:cs="Arial"/>
          <w:bCs/>
          <w:lang w:val="es-NI"/>
        </w:rPr>
      </w:pPr>
    </w:p>
    <w:p w:rsidR="00565239" w:rsidRPr="00F87B2D" w:rsidRDefault="00565239" w:rsidP="009764E9">
      <w:pPr>
        <w:numPr>
          <w:ilvl w:val="0"/>
          <w:numId w:val="16"/>
        </w:numPr>
        <w:tabs>
          <w:tab w:val="clear" w:pos="1440"/>
          <w:tab w:val="left" w:pos="-720"/>
          <w:tab w:val="left" w:pos="0"/>
          <w:tab w:val="num" w:pos="426"/>
          <w:tab w:val="left" w:pos="900"/>
        </w:tabs>
        <w:suppressAutoHyphens/>
        <w:spacing w:after="0" w:line="240" w:lineRule="atLeast"/>
        <w:ind w:left="993" w:hanging="284"/>
        <w:jc w:val="both"/>
        <w:rPr>
          <w:rFonts w:ascii="Arial" w:hAnsi="Arial" w:cs="Arial"/>
          <w:bCs/>
          <w:lang w:val="es-NI"/>
        </w:rPr>
      </w:pPr>
      <w:r w:rsidRPr="00F87B2D">
        <w:rPr>
          <w:rFonts w:ascii="Arial" w:hAnsi="Arial" w:cs="Arial"/>
          <w:bCs/>
          <w:lang w:val="es-NI"/>
        </w:rPr>
        <w:lastRenderedPageBreak/>
        <w:t>El procedimiento utilizado para obtener el valor razonable de cada categoría de inversión;</w:t>
      </w:r>
    </w:p>
    <w:p w:rsidR="00565239" w:rsidRPr="00F87B2D" w:rsidRDefault="00565239" w:rsidP="009764E9">
      <w:pPr>
        <w:tabs>
          <w:tab w:val="left" w:pos="-720"/>
          <w:tab w:val="left" w:pos="0"/>
          <w:tab w:val="left" w:pos="900"/>
        </w:tabs>
        <w:suppressAutoHyphens/>
        <w:spacing w:after="0" w:line="240" w:lineRule="atLeast"/>
        <w:ind w:left="993" w:hanging="284"/>
        <w:jc w:val="both"/>
        <w:rPr>
          <w:rFonts w:ascii="Arial" w:hAnsi="Arial" w:cs="Arial"/>
          <w:bCs/>
          <w:lang w:val="es-NI"/>
        </w:rPr>
      </w:pPr>
    </w:p>
    <w:p w:rsidR="00565239" w:rsidRPr="00F87B2D" w:rsidRDefault="00565239" w:rsidP="009764E9">
      <w:pPr>
        <w:numPr>
          <w:ilvl w:val="0"/>
          <w:numId w:val="16"/>
        </w:numPr>
        <w:tabs>
          <w:tab w:val="clear" w:pos="1440"/>
          <w:tab w:val="left" w:pos="-720"/>
          <w:tab w:val="left" w:pos="0"/>
          <w:tab w:val="num" w:pos="426"/>
          <w:tab w:val="left" w:pos="900"/>
        </w:tabs>
        <w:suppressAutoHyphens/>
        <w:spacing w:after="0" w:line="240" w:lineRule="atLeast"/>
        <w:ind w:left="993" w:hanging="284"/>
        <w:jc w:val="both"/>
        <w:rPr>
          <w:rFonts w:ascii="Arial" w:hAnsi="Arial" w:cs="Arial"/>
          <w:bCs/>
          <w:lang w:val="es-NI"/>
        </w:rPr>
      </w:pPr>
      <w:r w:rsidRPr="00991A5E">
        <w:rPr>
          <w:rFonts w:ascii="Arial" w:hAnsi="Arial" w:cs="Arial"/>
          <w:bCs/>
          <w:lang w:val="es-NI"/>
        </w:rPr>
        <w:t>En el caso de que el valor razonable de los instrumentos de deuda</w:t>
      </w:r>
      <w:r w:rsidR="00A01541" w:rsidRPr="00991A5E">
        <w:rPr>
          <w:rFonts w:ascii="Arial" w:hAnsi="Arial" w:cs="Arial"/>
          <w:bCs/>
          <w:lang w:val="es-NI"/>
        </w:rPr>
        <w:t xml:space="preserve"> o las participaciones de fondos de inversión cerrados nacionales,</w:t>
      </w:r>
      <w:r w:rsidRPr="00991A5E">
        <w:rPr>
          <w:rFonts w:ascii="Arial" w:hAnsi="Arial" w:cs="Arial"/>
          <w:bCs/>
          <w:lang w:val="es-NI"/>
        </w:rPr>
        <w:t xml:space="preserve"> no pudiera ser obtenido confiablemente o no sea representativo, se requiere la revelación de este hecho, la descripción del instrumento, método de valuación utilizado, monto acumulado</w:t>
      </w:r>
      <w:r w:rsidRPr="00F87B2D">
        <w:rPr>
          <w:rFonts w:ascii="Arial" w:hAnsi="Arial" w:cs="Arial"/>
          <w:bCs/>
          <w:lang w:val="es-NI"/>
        </w:rPr>
        <w:t xml:space="preserve"> y una explicación de las causas por las cuales no pudo ser determinado;</w:t>
      </w:r>
    </w:p>
    <w:p w:rsidR="00565239" w:rsidRPr="00F87B2D" w:rsidRDefault="00565239" w:rsidP="00565239">
      <w:pPr>
        <w:tabs>
          <w:tab w:val="left" w:pos="-720"/>
          <w:tab w:val="left" w:pos="0"/>
          <w:tab w:val="left" w:pos="900"/>
        </w:tabs>
        <w:suppressAutoHyphens/>
        <w:spacing w:after="0" w:line="240" w:lineRule="atLeast"/>
        <w:ind w:left="426"/>
        <w:jc w:val="both"/>
        <w:rPr>
          <w:rFonts w:ascii="Arial" w:hAnsi="Arial" w:cs="Arial"/>
          <w:bCs/>
          <w:lang w:val="es-NI"/>
        </w:rPr>
      </w:pPr>
    </w:p>
    <w:p w:rsidR="00214A58"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F87B2D">
        <w:rPr>
          <w:rFonts w:ascii="Arial" w:hAnsi="Arial" w:cs="Arial"/>
          <w:bCs/>
          <w:lang w:val="es-NI"/>
        </w:rPr>
        <w:t xml:space="preserve">En caso de que la Institución, haya </w:t>
      </w:r>
      <w:r w:rsidR="00214A58">
        <w:rPr>
          <w:rFonts w:ascii="Arial" w:hAnsi="Arial" w:cs="Arial"/>
          <w:bCs/>
          <w:lang w:val="es-NI"/>
        </w:rPr>
        <w:t xml:space="preserve">reclasificado </w:t>
      </w:r>
      <w:r w:rsidRPr="00F87B2D">
        <w:rPr>
          <w:rFonts w:ascii="Arial" w:hAnsi="Arial" w:cs="Arial"/>
          <w:bCs/>
          <w:lang w:val="es-NI"/>
        </w:rPr>
        <w:t xml:space="preserve">inversiones, se requiere de la revelación de este hecho, indicando específicamente las características de los instrumentos reclasificados en cuanto a: su número, su tasa promedio ponderada y tipo de emisor. </w:t>
      </w:r>
    </w:p>
    <w:p w:rsidR="00214A58" w:rsidRDefault="00214A58" w:rsidP="00214A58">
      <w:pPr>
        <w:pStyle w:val="Prrafodelista"/>
        <w:rPr>
          <w:rFonts w:ascii="Arial" w:hAnsi="Arial" w:cs="Arial"/>
          <w:bCs/>
          <w:lang w:val="es-NI"/>
        </w:rPr>
      </w:pPr>
    </w:p>
    <w:p w:rsidR="00565239" w:rsidRDefault="00565239" w:rsidP="00214A58">
      <w:pPr>
        <w:tabs>
          <w:tab w:val="left" w:pos="-720"/>
          <w:tab w:val="left" w:pos="0"/>
          <w:tab w:val="left" w:pos="993"/>
        </w:tabs>
        <w:suppressAutoHyphens/>
        <w:spacing w:after="0" w:line="240" w:lineRule="atLeast"/>
        <w:ind w:left="993"/>
        <w:jc w:val="both"/>
        <w:rPr>
          <w:rFonts w:ascii="Arial" w:hAnsi="Arial" w:cs="Arial"/>
          <w:bCs/>
          <w:lang w:val="es-NI"/>
        </w:rPr>
      </w:pPr>
      <w:r w:rsidRPr="00F87B2D">
        <w:rPr>
          <w:rFonts w:ascii="Arial" w:hAnsi="Arial" w:cs="Arial"/>
          <w:bCs/>
          <w:lang w:val="es-NI"/>
        </w:rPr>
        <w:t xml:space="preserve">Asimismo, se deberá revelar el valor en libros y el valor razonable de los </w:t>
      </w:r>
      <w:r>
        <w:rPr>
          <w:rFonts w:ascii="Arial" w:hAnsi="Arial" w:cs="Arial"/>
          <w:bCs/>
          <w:lang w:val="es-NI"/>
        </w:rPr>
        <w:t xml:space="preserve">instrumentos </w:t>
      </w:r>
      <w:r w:rsidRPr="00F87B2D">
        <w:rPr>
          <w:rFonts w:ascii="Arial" w:hAnsi="Arial" w:cs="Arial"/>
          <w:bCs/>
          <w:lang w:val="es-NI"/>
        </w:rPr>
        <w:t xml:space="preserve">a la fecha de los estados financieros, cuando éstos hayan sido transferidos hacia la categoría de </w:t>
      </w:r>
      <w:r>
        <w:rPr>
          <w:rFonts w:ascii="Arial" w:hAnsi="Arial" w:cs="Arial"/>
          <w:bCs/>
          <w:lang w:val="es-NI"/>
        </w:rPr>
        <w:t>instrumentos</w:t>
      </w:r>
      <w:r w:rsidRPr="00F87B2D">
        <w:rPr>
          <w:rFonts w:ascii="Arial" w:hAnsi="Arial" w:cs="Arial"/>
          <w:bCs/>
          <w:lang w:val="es-NI"/>
        </w:rPr>
        <w:t xml:space="preserve"> conservados a vencimiento o, el efecto de la valuación a valor razonable a esa fecha, si la transferencia ha sido de la categoría de </w:t>
      </w:r>
      <w:r>
        <w:rPr>
          <w:rFonts w:ascii="Arial" w:hAnsi="Arial" w:cs="Arial"/>
          <w:bCs/>
          <w:lang w:val="es-NI"/>
        </w:rPr>
        <w:t xml:space="preserve">inversiones a valor razonable con cambios en resultados </w:t>
      </w:r>
      <w:r w:rsidRPr="00F87B2D">
        <w:rPr>
          <w:rFonts w:ascii="Arial" w:hAnsi="Arial" w:cs="Arial"/>
          <w:bCs/>
          <w:lang w:val="es-NI"/>
        </w:rPr>
        <w:t xml:space="preserve">a la de </w:t>
      </w:r>
      <w:r>
        <w:rPr>
          <w:rFonts w:ascii="Arial" w:hAnsi="Arial" w:cs="Arial"/>
          <w:bCs/>
          <w:lang w:val="es-NI"/>
        </w:rPr>
        <w:t>inversiones al valor razonable con cambio</w:t>
      </w:r>
      <w:r w:rsidR="00C70337">
        <w:rPr>
          <w:rFonts w:ascii="Arial" w:hAnsi="Arial" w:cs="Arial"/>
          <w:bCs/>
          <w:lang w:val="es-NI"/>
        </w:rPr>
        <w:t>s en otro resultado integral;</w:t>
      </w:r>
    </w:p>
    <w:p w:rsidR="00565239" w:rsidRDefault="00565239" w:rsidP="00565239">
      <w:pPr>
        <w:pStyle w:val="Prrafodelista"/>
        <w:rPr>
          <w:rFonts w:ascii="Arial" w:hAnsi="Arial" w:cs="Arial"/>
          <w:bCs/>
          <w:lang w:val="es-NI"/>
        </w:rPr>
      </w:pPr>
    </w:p>
    <w:p w:rsidR="00565239" w:rsidRPr="00F87B2D"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F87B2D">
        <w:rPr>
          <w:rFonts w:ascii="Arial" w:hAnsi="Arial" w:cs="Arial"/>
          <w:bCs/>
          <w:lang w:val="es-NI"/>
        </w:rPr>
        <w:t>Los ingresos por intereses, los dividendos cobrados en efectivo en títulos accionarios, los resultados por valuación y por compraventa de valores reconocidos en el ejercicio;</w:t>
      </w:r>
    </w:p>
    <w:p w:rsidR="00565239" w:rsidRPr="00F87B2D" w:rsidRDefault="00565239" w:rsidP="009764E9">
      <w:pPr>
        <w:tabs>
          <w:tab w:val="left" w:pos="-720"/>
          <w:tab w:val="left" w:pos="0"/>
          <w:tab w:val="left" w:pos="993"/>
        </w:tabs>
        <w:suppressAutoHyphens/>
        <w:spacing w:after="0" w:line="240" w:lineRule="atLeast"/>
        <w:ind w:left="993" w:hanging="284"/>
        <w:jc w:val="both"/>
        <w:rPr>
          <w:rFonts w:ascii="Arial" w:hAnsi="Arial" w:cs="Arial"/>
          <w:bCs/>
          <w:lang w:val="es-NI"/>
        </w:rPr>
      </w:pPr>
    </w:p>
    <w:p w:rsidR="00565239" w:rsidRDefault="00565239" w:rsidP="009764E9">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F87B2D">
        <w:rPr>
          <w:rFonts w:ascii="Arial" w:hAnsi="Arial" w:cs="Arial"/>
          <w:bCs/>
          <w:lang w:val="es-NI"/>
        </w:rPr>
        <w:t xml:space="preserve">Inversiones en instrumentos financieros, distintas a </w:t>
      </w:r>
      <w:r>
        <w:rPr>
          <w:rFonts w:ascii="Arial" w:hAnsi="Arial" w:cs="Arial"/>
          <w:bCs/>
          <w:lang w:val="es-NI"/>
        </w:rPr>
        <w:t>instrumentos de deuda</w:t>
      </w:r>
      <w:r w:rsidRPr="00F87B2D">
        <w:rPr>
          <w:rFonts w:ascii="Arial" w:hAnsi="Arial" w:cs="Arial"/>
          <w:bCs/>
          <w:lang w:val="es-NI"/>
        </w:rPr>
        <w:t xml:space="preserve"> gubernamentales, que estén integradas por </w:t>
      </w:r>
      <w:r>
        <w:rPr>
          <w:rFonts w:ascii="Arial" w:hAnsi="Arial" w:cs="Arial"/>
          <w:bCs/>
          <w:lang w:val="es-NI"/>
        </w:rPr>
        <w:t>instrumentos</w:t>
      </w:r>
      <w:r w:rsidRPr="00F87B2D">
        <w:rPr>
          <w:rFonts w:ascii="Arial" w:hAnsi="Arial" w:cs="Arial"/>
          <w:bCs/>
          <w:lang w:val="es-NI"/>
        </w:rPr>
        <w:t xml:space="preserve"> de deuda de un mismo emisor, que representen más del 5% del capital neto de la Institución y que impliquen riesgo de crédito, indicando las principales características de éstas (emisor, emisión y, en su cas</w:t>
      </w:r>
      <w:r w:rsidR="00C70337">
        <w:rPr>
          <w:rFonts w:ascii="Arial" w:hAnsi="Arial" w:cs="Arial"/>
          <w:bCs/>
          <w:lang w:val="es-NI"/>
        </w:rPr>
        <w:t>o, plazo y tasa, entre otros);</w:t>
      </w:r>
    </w:p>
    <w:p w:rsidR="00214A58" w:rsidRDefault="00214A58" w:rsidP="00214A58">
      <w:pPr>
        <w:tabs>
          <w:tab w:val="left" w:pos="-720"/>
          <w:tab w:val="left" w:pos="0"/>
          <w:tab w:val="left" w:pos="993"/>
        </w:tabs>
        <w:suppressAutoHyphens/>
        <w:spacing w:after="0" w:line="240" w:lineRule="atLeast"/>
        <w:ind w:left="993"/>
        <w:jc w:val="both"/>
        <w:rPr>
          <w:rFonts w:ascii="Arial" w:hAnsi="Arial" w:cs="Arial"/>
          <w:bCs/>
          <w:lang w:val="es-NI"/>
        </w:rPr>
      </w:pPr>
    </w:p>
    <w:p w:rsidR="00214A58" w:rsidRDefault="00565239" w:rsidP="00214A58">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214A58">
        <w:rPr>
          <w:rFonts w:ascii="Arial" w:hAnsi="Arial" w:cs="Arial"/>
          <w:bCs/>
          <w:lang w:val="es-NI"/>
        </w:rPr>
        <w:t>Cualquier evento extraordinario que afecte la valuación de las inversiones en instrumentos financieros.</w:t>
      </w:r>
      <w:bookmarkStart w:id="11" w:name="_Toc494460993"/>
    </w:p>
    <w:p w:rsidR="00214A58" w:rsidRDefault="00214A58" w:rsidP="00214A58">
      <w:pPr>
        <w:pStyle w:val="Prrafodelista"/>
        <w:ind w:left="993" w:hanging="284"/>
        <w:rPr>
          <w:rFonts w:ascii="Arial" w:hAnsi="Arial" w:cs="Arial"/>
          <w:bCs/>
          <w:lang w:val="es-NI"/>
        </w:rPr>
      </w:pPr>
    </w:p>
    <w:p w:rsidR="00A01541" w:rsidRPr="00214A58" w:rsidRDefault="00A01541" w:rsidP="00214A58">
      <w:pPr>
        <w:numPr>
          <w:ilvl w:val="0"/>
          <w:numId w:val="16"/>
        </w:numPr>
        <w:tabs>
          <w:tab w:val="clear" w:pos="1440"/>
          <w:tab w:val="left" w:pos="-720"/>
          <w:tab w:val="left" w:pos="0"/>
          <w:tab w:val="left" w:pos="993"/>
        </w:tabs>
        <w:suppressAutoHyphens/>
        <w:spacing w:after="0" w:line="240" w:lineRule="atLeast"/>
        <w:ind w:left="993" w:hanging="284"/>
        <w:jc w:val="both"/>
        <w:rPr>
          <w:rFonts w:ascii="Arial" w:hAnsi="Arial" w:cs="Arial"/>
          <w:bCs/>
          <w:lang w:val="es-NI"/>
        </w:rPr>
      </w:pPr>
      <w:r w:rsidRPr="00214A58">
        <w:rPr>
          <w:rFonts w:ascii="Arial" w:hAnsi="Arial" w:cs="Arial"/>
          <w:bCs/>
          <w:lang w:val="es-NI"/>
        </w:rPr>
        <w:t>En el caso específico de las participaciones de fondos de inversión abiertos nacionales se deberá revelar lo siguiente:</w:t>
      </w:r>
    </w:p>
    <w:p w:rsidR="00A01541" w:rsidRPr="00991A5E" w:rsidRDefault="00A01541" w:rsidP="00A01541">
      <w:pPr>
        <w:tabs>
          <w:tab w:val="left" w:pos="-720"/>
          <w:tab w:val="left" w:pos="567"/>
          <w:tab w:val="left" w:pos="900"/>
        </w:tabs>
        <w:suppressAutoHyphens/>
        <w:spacing w:after="0" w:line="240" w:lineRule="atLeast"/>
        <w:ind w:left="567"/>
        <w:jc w:val="both"/>
        <w:rPr>
          <w:rFonts w:ascii="Arial" w:hAnsi="Arial" w:cs="Arial"/>
          <w:bCs/>
          <w:lang w:val="es-NI"/>
        </w:rPr>
      </w:pPr>
    </w:p>
    <w:p w:rsidR="00A01541" w:rsidRPr="00991A5E" w:rsidRDefault="00A01541" w:rsidP="00E71396">
      <w:pPr>
        <w:pStyle w:val="Prrafodelista"/>
        <w:numPr>
          <w:ilvl w:val="2"/>
          <w:numId w:val="33"/>
        </w:numPr>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r w:rsidRPr="00991A5E">
        <w:rPr>
          <w:rFonts w:ascii="Arial" w:eastAsia="Calibri" w:hAnsi="Arial" w:cs="Arial"/>
          <w:bCs/>
          <w:sz w:val="22"/>
          <w:szCs w:val="22"/>
          <w:lang w:val="es-NI"/>
        </w:rPr>
        <w:t>La descripción de las políticas de administración de riesgo, así como el análisis sobre los riesgos a los que está expuesta la Institución bajo su propia perspectiva;</w:t>
      </w:r>
    </w:p>
    <w:p w:rsidR="00A01541" w:rsidRPr="00991A5E" w:rsidRDefault="00A01541" w:rsidP="00E71396">
      <w:pPr>
        <w:pStyle w:val="Prrafodelista"/>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p>
    <w:p w:rsidR="00A01541" w:rsidRPr="00991A5E" w:rsidRDefault="00A01541" w:rsidP="00E71396">
      <w:pPr>
        <w:pStyle w:val="Prrafodelista"/>
        <w:numPr>
          <w:ilvl w:val="2"/>
          <w:numId w:val="33"/>
        </w:numPr>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r w:rsidRPr="00991A5E">
        <w:rPr>
          <w:rFonts w:ascii="Arial" w:eastAsia="Calibri" w:hAnsi="Arial" w:cs="Arial"/>
          <w:bCs/>
          <w:sz w:val="22"/>
          <w:szCs w:val="22"/>
          <w:lang w:val="es-NI" w:eastAsia="en-US"/>
        </w:rPr>
        <w:t>La composición de las inversiones que realiza el fondo por tipo de instrumento, de acuerdo a prospecto y los rendimientos obtenidos.</w:t>
      </w:r>
    </w:p>
    <w:p w:rsidR="00A01541" w:rsidRPr="00991A5E" w:rsidRDefault="00A01541" w:rsidP="00E71396">
      <w:pPr>
        <w:pStyle w:val="Prrafodelista"/>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p>
    <w:p w:rsidR="00A01541" w:rsidRPr="00991A5E" w:rsidRDefault="00A01541" w:rsidP="00E71396">
      <w:pPr>
        <w:pStyle w:val="Prrafodelista"/>
        <w:numPr>
          <w:ilvl w:val="2"/>
          <w:numId w:val="33"/>
        </w:numPr>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r w:rsidRPr="00991A5E">
        <w:rPr>
          <w:rFonts w:ascii="Arial" w:eastAsia="Calibri" w:hAnsi="Arial" w:cs="Arial"/>
          <w:bCs/>
          <w:sz w:val="22"/>
          <w:szCs w:val="22"/>
          <w:lang w:val="es-NI" w:eastAsia="en-US"/>
        </w:rPr>
        <w:t>Cualquier evento extraordinario que afecte la valuación de las inversiones en instrumentos financieros.</w:t>
      </w:r>
    </w:p>
    <w:p w:rsidR="00A01541" w:rsidRPr="00991A5E" w:rsidRDefault="00A01541" w:rsidP="00E71396">
      <w:pPr>
        <w:pStyle w:val="Prrafodelista"/>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p>
    <w:p w:rsidR="00A01541" w:rsidRPr="00991A5E" w:rsidRDefault="00A01541" w:rsidP="00E71396">
      <w:pPr>
        <w:pStyle w:val="Prrafodelista"/>
        <w:numPr>
          <w:ilvl w:val="2"/>
          <w:numId w:val="33"/>
        </w:numPr>
        <w:tabs>
          <w:tab w:val="left" w:pos="-720"/>
          <w:tab w:val="left" w:pos="900"/>
          <w:tab w:val="left" w:pos="1276"/>
        </w:tabs>
        <w:suppressAutoHyphens/>
        <w:spacing w:line="240" w:lineRule="atLeast"/>
        <w:ind w:left="1276" w:hanging="142"/>
        <w:jc w:val="both"/>
        <w:rPr>
          <w:rFonts w:ascii="Arial" w:eastAsia="Calibri" w:hAnsi="Arial" w:cs="Arial"/>
          <w:bCs/>
          <w:sz w:val="22"/>
          <w:szCs w:val="22"/>
          <w:lang w:val="es-NI"/>
        </w:rPr>
      </w:pPr>
      <w:r w:rsidRPr="00991A5E">
        <w:rPr>
          <w:rFonts w:ascii="Arial" w:eastAsia="Calibri" w:hAnsi="Arial" w:cs="Arial"/>
          <w:bCs/>
          <w:sz w:val="22"/>
          <w:szCs w:val="22"/>
          <w:lang w:val="es-NI" w:eastAsia="en-US"/>
        </w:rPr>
        <w:t>Revelación de los movimientos y saldos de las participaciones en fondos de inversión abierto.</w:t>
      </w:r>
    </w:p>
    <w:p w:rsidR="00A01541" w:rsidRPr="00A82B67" w:rsidRDefault="00A01541" w:rsidP="00A01541">
      <w:pPr>
        <w:pStyle w:val="Numerales"/>
        <w:numPr>
          <w:ilvl w:val="0"/>
          <w:numId w:val="0"/>
        </w:numPr>
        <w:rPr>
          <w:rFonts w:eastAsia="Calibri"/>
          <w:b w:val="0"/>
          <w:bCs/>
          <w:lang w:val="es-NI" w:eastAsia="en-US"/>
        </w:rPr>
      </w:pPr>
    </w:p>
    <w:p w:rsidR="00A01541" w:rsidRPr="00A82B67" w:rsidRDefault="00A01541" w:rsidP="006D443A">
      <w:pPr>
        <w:rPr>
          <w:b/>
          <w:bCs/>
          <w:lang w:val="es-NI"/>
        </w:rPr>
      </w:pPr>
      <w:r w:rsidRPr="00991A5E">
        <w:rPr>
          <w:noProof/>
          <w:lang w:val="es-NI" w:eastAsia="es-NI"/>
        </w:rPr>
        <w:drawing>
          <wp:inline distT="0" distB="0" distL="0" distR="0" wp14:anchorId="4B006336" wp14:editId="68EAE9CE">
            <wp:extent cx="6086246" cy="3116275"/>
            <wp:effectExtent l="0" t="0" r="0"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7935" cy="3117140"/>
                    </a:xfrm>
                    <a:prstGeom prst="rect">
                      <a:avLst/>
                    </a:prstGeom>
                    <a:noFill/>
                    <a:ln>
                      <a:noFill/>
                    </a:ln>
                  </pic:spPr>
                </pic:pic>
              </a:graphicData>
            </a:graphic>
          </wp:inline>
        </w:drawing>
      </w:r>
    </w:p>
    <w:p w:rsidR="00A01541" w:rsidRDefault="00A01541" w:rsidP="00A01541">
      <w:pPr>
        <w:pStyle w:val="Numerales"/>
        <w:numPr>
          <w:ilvl w:val="0"/>
          <w:numId w:val="0"/>
        </w:numPr>
      </w:pPr>
    </w:p>
    <w:p w:rsidR="00A01541" w:rsidRPr="006D443A" w:rsidRDefault="00A01541" w:rsidP="006D443A">
      <w:pPr>
        <w:rPr>
          <w:rFonts w:ascii="Arial" w:hAnsi="Arial" w:cs="Arial"/>
          <w:lang w:val="es-NI"/>
        </w:rPr>
      </w:pPr>
      <w:proofErr w:type="gramStart"/>
      <w:r w:rsidRPr="006D443A">
        <w:rPr>
          <w:rFonts w:ascii="Arial" w:hAnsi="Arial" w:cs="Arial"/>
          <w:lang w:val="es-NI"/>
        </w:rPr>
        <w:t>Las notas de las participaciones minoritarias aplicará</w:t>
      </w:r>
      <w:proofErr w:type="gramEnd"/>
      <w:r w:rsidRPr="006D443A">
        <w:rPr>
          <w:rFonts w:ascii="Arial" w:hAnsi="Arial" w:cs="Arial"/>
          <w:lang w:val="es-NI"/>
        </w:rPr>
        <w:t xml:space="preserve"> todo lo establecido en NIIF 9.</w:t>
      </w:r>
    </w:p>
    <w:p w:rsidR="00565239" w:rsidRPr="00D62425" w:rsidRDefault="00565239" w:rsidP="009764E9">
      <w:pPr>
        <w:pStyle w:val="Numerales"/>
        <w:tabs>
          <w:tab w:val="clear" w:pos="540"/>
          <w:tab w:val="num" w:pos="567"/>
        </w:tabs>
        <w:ind w:left="567" w:hanging="283"/>
      </w:pPr>
      <w:bookmarkStart w:id="12" w:name="_Toc516736961"/>
      <w:r w:rsidRPr="00D62425">
        <w:t>CARTERA DE CRÉDITOS</w:t>
      </w:r>
      <w:bookmarkEnd w:id="10"/>
      <w:bookmarkEnd w:id="11"/>
      <w:bookmarkEnd w:id="12"/>
    </w:p>
    <w:p w:rsidR="00565239" w:rsidRDefault="00565239" w:rsidP="00565239">
      <w:pPr>
        <w:pStyle w:val="Arely2"/>
        <w:numPr>
          <w:ilvl w:val="0"/>
          <w:numId w:val="0"/>
        </w:numPr>
        <w:ind w:left="576"/>
      </w:pPr>
    </w:p>
    <w:p w:rsidR="00565239" w:rsidRPr="00F40E3B"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NI"/>
        </w:rPr>
      </w:pPr>
      <w:r w:rsidRPr="00F40E3B">
        <w:rPr>
          <w:rFonts w:ascii="Arial" w:hAnsi="Arial" w:cs="Arial"/>
          <w:lang w:val="es-MX"/>
        </w:rPr>
        <w:t>Presentar u</w:t>
      </w:r>
      <w:r w:rsidRPr="00F40E3B">
        <w:rPr>
          <w:rFonts w:ascii="Arial" w:hAnsi="Arial" w:cs="Arial"/>
          <w:lang w:val="es-NI"/>
        </w:rPr>
        <w:t>n resumen de los saldos de créditos vigentes, vencidos y en cobro judicial estratificados por tipo de crédito (sobregiros contratados; documentos descontados; préstamos personales, agrícolas, comerciales, ganaderos, industriales, hipotecarios, tarjetas de crédito y arrendamiento financiero) y los importes correspondientes a los créditos reestructurados y prorrogados, junto con los intereses y la provisión para la cartera de créditos. Este resumen deberá presentarse para cada período contable en el que se presente la información financiera y deberá sub totalizarse por plazo (vigentes, vencidos, reestructurados, prorrogados y en cobro judicial) y presentar el saldo neto de prov</w:t>
      </w:r>
      <w:r w:rsidR="00C70337">
        <w:rPr>
          <w:rFonts w:ascii="Arial" w:hAnsi="Arial" w:cs="Arial"/>
          <w:lang w:val="es-NI"/>
        </w:rPr>
        <w:t>isión de la cartera de créditos;</w:t>
      </w:r>
    </w:p>
    <w:p w:rsidR="001F188A" w:rsidRDefault="001F188A" w:rsidP="001F188A">
      <w:pPr>
        <w:tabs>
          <w:tab w:val="left" w:pos="-720"/>
          <w:tab w:val="left" w:pos="0"/>
          <w:tab w:val="left" w:pos="900"/>
        </w:tabs>
        <w:suppressAutoHyphens/>
        <w:spacing w:after="0" w:line="240" w:lineRule="atLeast"/>
        <w:ind w:left="426"/>
        <w:jc w:val="both"/>
        <w:rPr>
          <w:rFonts w:ascii="Arial" w:hAnsi="Arial" w:cs="Arial"/>
          <w:lang w:val="es-MX"/>
        </w:rPr>
      </w:pPr>
    </w:p>
    <w:p w:rsidR="00565239"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057CF">
        <w:rPr>
          <w:rFonts w:ascii="Arial" w:hAnsi="Arial" w:cs="Arial"/>
          <w:lang w:val="es-MX"/>
        </w:rPr>
        <w:t>Principales políticas y procedimientos establecidos para el otorgamiento, control y recuperación de créditos, así como las relativas a la evaluación y seguimiento del riesgo crediticio;</w:t>
      </w:r>
    </w:p>
    <w:p w:rsidR="009764E9" w:rsidRPr="002057CF" w:rsidRDefault="009764E9" w:rsidP="009764E9">
      <w:pPr>
        <w:tabs>
          <w:tab w:val="left" w:pos="-720"/>
          <w:tab w:val="left" w:pos="0"/>
          <w:tab w:val="left" w:pos="993"/>
        </w:tabs>
        <w:suppressAutoHyphens/>
        <w:spacing w:after="0" w:line="240" w:lineRule="atLeast"/>
        <w:jc w:val="both"/>
        <w:rPr>
          <w:rFonts w:ascii="Arial" w:hAnsi="Arial" w:cs="Arial"/>
          <w:lang w:val="es-MX"/>
        </w:rPr>
      </w:pPr>
    </w:p>
    <w:p w:rsidR="00565239"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682CAB">
        <w:rPr>
          <w:rFonts w:ascii="Arial" w:hAnsi="Arial" w:cs="Arial"/>
          <w:lang w:val="es-MX"/>
        </w:rPr>
        <w:t>Políticas y procedimientos establecidos para determinar concentraciones de riesgo de crédito;</w:t>
      </w:r>
    </w:p>
    <w:p w:rsidR="009764E9" w:rsidRPr="00682CAB" w:rsidRDefault="009764E9" w:rsidP="009764E9">
      <w:pPr>
        <w:tabs>
          <w:tab w:val="left" w:pos="-720"/>
          <w:tab w:val="left" w:pos="0"/>
          <w:tab w:val="left" w:pos="993"/>
        </w:tabs>
        <w:suppressAutoHyphens/>
        <w:spacing w:after="0" w:line="240" w:lineRule="atLeast"/>
        <w:jc w:val="both"/>
        <w:rPr>
          <w:rFonts w:ascii="Arial" w:hAnsi="Arial" w:cs="Arial"/>
          <w:lang w:val="es-MX"/>
        </w:rPr>
      </w:pPr>
    </w:p>
    <w:p w:rsidR="00565239"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F40E3B">
        <w:rPr>
          <w:rFonts w:ascii="Arial" w:hAnsi="Arial" w:cs="Arial"/>
          <w:lang w:val="es-MX"/>
        </w:rPr>
        <w:t>Métodos utilizados para identificar los créditos con problemas ya sean vencidos y</w:t>
      </w:r>
      <w:r w:rsidR="009764E9">
        <w:rPr>
          <w:rFonts w:ascii="Arial" w:hAnsi="Arial" w:cs="Arial"/>
          <w:lang w:val="es-MX"/>
        </w:rPr>
        <w:t xml:space="preserve"> en cobro judicial;</w:t>
      </w:r>
    </w:p>
    <w:p w:rsidR="009764E9" w:rsidRPr="00F40E3B" w:rsidRDefault="009764E9" w:rsidP="009764E9">
      <w:pPr>
        <w:tabs>
          <w:tab w:val="left" w:pos="-720"/>
          <w:tab w:val="left" w:pos="0"/>
          <w:tab w:val="left" w:pos="993"/>
        </w:tabs>
        <w:suppressAutoHyphens/>
        <w:spacing w:after="0" w:line="240" w:lineRule="atLeast"/>
        <w:jc w:val="both"/>
        <w:rPr>
          <w:rFonts w:ascii="Arial" w:hAnsi="Arial" w:cs="Arial"/>
          <w:lang w:val="es-MX"/>
        </w:rPr>
      </w:pPr>
    </w:p>
    <w:p w:rsidR="00565239" w:rsidRPr="00682CAB"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682CAB">
        <w:rPr>
          <w:rFonts w:ascii="Arial" w:hAnsi="Arial" w:cs="Arial"/>
          <w:lang w:val="es-MX"/>
        </w:rPr>
        <w:t>Desglose de la cartera vigente y vencida por tipo de crédito</w:t>
      </w:r>
      <w:r w:rsidR="009764E9">
        <w:rPr>
          <w:rFonts w:ascii="Arial" w:hAnsi="Arial" w:cs="Arial"/>
          <w:lang w:val="es-MX"/>
        </w:rPr>
        <w:t>;</w:t>
      </w:r>
      <w:r w:rsidRPr="00682CAB">
        <w:rPr>
          <w:rFonts w:ascii="Arial" w:hAnsi="Arial" w:cs="Arial"/>
          <w:lang w:val="es-MX"/>
        </w:rPr>
        <w:t xml:space="preserve"> </w:t>
      </w:r>
    </w:p>
    <w:p w:rsidR="00565239" w:rsidRDefault="00565239" w:rsidP="009764E9">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682CAB">
        <w:rPr>
          <w:rFonts w:ascii="Arial" w:hAnsi="Arial" w:cs="Arial"/>
          <w:lang w:val="es-MX"/>
        </w:rPr>
        <w:lastRenderedPageBreak/>
        <w:t>En forma agregada, el porcentaje de concentración y principales características de la cartera por sector, región o grupo económico, entendiéndose por éste último a los grupos de personas naturales y jurídicas que por sus nexos patrimoniales o de responsabilidad constituyen riesgos comunes;</w:t>
      </w:r>
    </w:p>
    <w:p w:rsidR="009764E9" w:rsidRPr="00682CAB" w:rsidRDefault="009764E9" w:rsidP="009764E9">
      <w:pPr>
        <w:tabs>
          <w:tab w:val="left" w:pos="-720"/>
          <w:tab w:val="left" w:pos="0"/>
          <w:tab w:val="left" w:pos="993"/>
        </w:tabs>
        <w:suppressAutoHyphens/>
        <w:spacing w:after="0" w:line="240" w:lineRule="atLeast"/>
        <w:ind w:left="993"/>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682CAB">
        <w:rPr>
          <w:rFonts w:ascii="Arial" w:hAnsi="Arial" w:cs="Arial"/>
          <w:lang w:val="es-MX"/>
        </w:rPr>
        <w:t>Costo acumulado a cargo de la institución, así como el saldo de la cartera para financiar programas de apoyo específicos, identificándola por tipo de programa;</w:t>
      </w:r>
    </w:p>
    <w:p w:rsidR="00C70337" w:rsidRPr="00682CAB"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682CAB">
        <w:rPr>
          <w:rFonts w:ascii="Arial" w:hAnsi="Arial" w:cs="Arial"/>
          <w:lang w:val="es-MX"/>
        </w:rPr>
        <w:t>Identificación por tipo de crédito, del saldo de la cartera vencida a partir de la fecha en que ésta fue clasificada conforme los plazos establecidos en la norma de la mater</w:t>
      </w:r>
      <w:r w:rsidR="00C70337">
        <w:rPr>
          <w:rFonts w:ascii="Arial" w:hAnsi="Arial" w:cs="Arial"/>
          <w:lang w:val="es-MX"/>
        </w:rPr>
        <w:t>ia correspondiente de la SIBOIF;</w:t>
      </w:r>
    </w:p>
    <w:p w:rsidR="00E71396" w:rsidRPr="00682CAB" w:rsidRDefault="00E71396" w:rsidP="00E71396">
      <w:pPr>
        <w:tabs>
          <w:tab w:val="left" w:pos="-720"/>
          <w:tab w:val="left" w:pos="0"/>
          <w:tab w:val="left" w:pos="993"/>
        </w:tabs>
        <w:suppressAutoHyphens/>
        <w:spacing w:after="0" w:line="240" w:lineRule="atLeast"/>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F579A">
        <w:rPr>
          <w:rFonts w:ascii="Arial" w:hAnsi="Arial" w:cs="Arial"/>
          <w:lang w:val="es-MX"/>
        </w:rPr>
        <w:t xml:space="preserve">Explicación de las principales variaciones en la cartera vencida identificando, entre otros: reestructuraciones, adjudicaciones, </w:t>
      </w:r>
      <w:r>
        <w:rPr>
          <w:rFonts w:ascii="Arial" w:hAnsi="Arial" w:cs="Arial"/>
          <w:lang w:val="es-MX"/>
        </w:rPr>
        <w:t>saneamientos,</w:t>
      </w:r>
      <w:r w:rsidRPr="002F579A">
        <w:rPr>
          <w:rFonts w:ascii="Arial" w:hAnsi="Arial" w:cs="Arial"/>
          <w:lang w:val="es-MX"/>
        </w:rPr>
        <w:t xml:space="preserve"> traspasos hacia la cartera vigente</w:t>
      </w:r>
      <w:r w:rsidR="00C70337">
        <w:rPr>
          <w:rFonts w:ascii="Arial" w:hAnsi="Arial" w:cs="Arial"/>
          <w:lang w:val="es-MX"/>
        </w:rPr>
        <w:t>;</w:t>
      </w:r>
    </w:p>
    <w:p w:rsidR="00C70337" w:rsidRPr="001F188A"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5621E6">
        <w:rPr>
          <w:rFonts w:ascii="Arial" w:hAnsi="Arial" w:cs="Arial"/>
          <w:lang w:val="es-MX"/>
        </w:rPr>
        <w:t xml:space="preserve">Breve descripción de la metodología para determinar las estimaciones preventivas para </w:t>
      </w:r>
      <w:r w:rsidRPr="0019231C">
        <w:rPr>
          <w:rFonts w:ascii="Arial" w:hAnsi="Arial" w:cs="Arial"/>
          <w:lang w:val="es-MX"/>
        </w:rPr>
        <w:t>riesgos crediticios específicas y genéricas (provisión para créditos incobrables);</w:t>
      </w:r>
    </w:p>
    <w:p w:rsidR="00C70337" w:rsidRPr="0019231C"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19231C">
        <w:rPr>
          <w:rFonts w:ascii="Arial" w:hAnsi="Arial" w:cs="Arial"/>
          <w:lang w:val="es-MX"/>
        </w:rPr>
        <w:t xml:space="preserve">Calificación por grado de riesgo, importe de la cartera, así como de la provisión para la cartera de crédito, desagregada de acuerdo a la estratificación contenida en las metodologías para la calificación de la cartera de créditos y por tipo de crédito. Asimismo, se deberá revelar en su caso, que la calificación de la cartera comercial incluye los créditos otorgados a intermediarios </w:t>
      </w:r>
      <w:r w:rsidRPr="001A1B2C">
        <w:rPr>
          <w:rFonts w:ascii="Arial" w:hAnsi="Arial" w:cs="Arial"/>
          <w:lang w:val="es-MX"/>
        </w:rPr>
        <w:t>financieros y/o entidades gubernamentales;</w:t>
      </w:r>
    </w:p>
    <w:p w:rsidR="00C70337" w:rsidRPr="001A1B2C"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1A1B2C">
        <w:rPr>
          <w:rFonts w:ascii="Arial" w:hAnsi="Arial" w:cs="Arial"/>
          <w:lang w:val="es-MX"/>
        </w:rPr>
        <w:t>Importe de los créditos vencidos que fueron saneados de los activos, desglosando aquéllos otorgados a partes relacionadas;</w:t>
      </w:r>
    </w:p>
    <w:p w:rsidR="00C70337" w:rsidRPr="001A1B2C"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Monto y naturaleza de las garantías adicionales y concesiones otorgadas en los créditos reestructurados;</w:t>
      </w:r>
    </w:p>
    <w:p w:rsidR="00C70337" w:rsidRPr="002B62A4" w:rsidRDefault="00C70337" w:rsidP="00C70337">
      <w:pPr>
        <w:tabs>
          <w:tab w:val="left" w:pos="-720"/>
          <w:tab w:val="left" w:pos="0"/>
          <w:tab w:val="left" w:pos="900"/>
        </w:tabs>
        <w:suppressAutoHyphens/>
        <w:spacing w:after="0" w:line="240" w:lineRule="atLeast"/>
        <w:jc w:val="both"/>
        <w:rPr>
          <w:rFonts w:ascii="Arial" w:hAnsi="Arial" w:cs="Arial"/>
          <w:lang w:val="es-MX"/>
        </w:rPr>
      </w:pPr>
    </w:p>
    <w:p w:rsidR="00C70337"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Monto total de las operaciones de factoraje otorgados</w:t>
      </w:r>
      <w:r w:rsidR="00C70337">
        <w:rPr>
          <w:rFonts w:ascii="Arial" w:hAnsi="Arial" w:cs="Arial"/>
          <w:lang w:val="es-MX"/>
        </w:rPr>
        <w:t>;</w:t>
      </w:r>
    </w:p>
    <w:p w:rsidR="00565239" w:rsidRPr="002B62A4" w:rsidRDefault="00565239" w:rsidP="00C70337">
      <w:pPr>
        <w:tabs>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 xml:space="preserve"> </w:t>
      </w: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Desglose de los intereses y comisiones por tipo de crédito;</w:t>
      </w:r>
    </w:p>
    <w:p w:rsidR="00C70337" w:rsidRPr="002B62A4"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 xml:space="preserve">Impacto en el estado de resultados derivado de la suspensión de la acumulación de </w:t>
      </w:r>
      <w:proofErr w:type="gramStart"/>
      <w:r w:rsidRPr="002B62A4">
        <w:rPr>
          <w:rFonts w:ascii="Arial" w:hAnsi="Arial" w:cs="Arial"/>
          <w:lang w:val="es-MX"/>
        </w:rPr>
        <w:t>intereses  de</w:t>
      </w:r>
      <w:proofErr w:type="gramEnd"/>
      <w:r w:rsidRPr="002B62A4">
        <w:rPr>
          <w:rFonts w:ascii="Arial" w:hAnsi="Arial" w:cs="Arial"/>
          <w:lang w:val="es-MX"/>
        </w:rPr>
        <w:t xml:space="preserve"> la cartera vencida y en cobro judicial;</w:t>
      </w:r>
    </w:p>
    <w:p w:rsidR="00C70337" w:rsidRPr="002B62A4"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Monto de los intereses devengados no cobrados registrados en cuentas de orden;</w:t>
      </w:r>
    </w:p>
    <w:p w:rsidR="00C70337" w:rsidRPr="002B62A4" w:rsidRDefault="00C70337" w:rsidP="00C70337">
      <w:pPr>
        <w:tabs>
          <w:tab w:val="left" w:pos="-720"/>
          <w:tab w:val="left" w:pos="0"/>
          <w:tab w:val="left" w:pos="993"/>
        </w:tabs>
        <w:suppressAutoHyphens/>
        <w:spacing w:after="0" w:line="240" w:lineRule="atLeast"/>
        <w:ind w:left="993" w:hanging="284"/>
        <w:jc w:val="both"/>
        <w:rPr>
          <w:rFonts w:ascii="Arial" w:hAnsi="Arial" w:cs="Arial"/>
          <w:lang w:val="es-MX"/>
        </w:rPr>
      </w:pPr>
    </w:p>
    <w:p w:rsidR="00565239" w:rsidRDefault="00565239" w:rsidP="00C70337">
      <w:pPr>
        <w:numPr>
          <w:ilvl w:val="0"/>
          <w:numId w:val="43"/>
        </w:numPr>
        <w:tabs>
          <w:tab w:val="clear" w:pos="1440"/>
          <w:tab w:val="left" w:pos="-720"/>
          <w:tab w:val="left" w:pos="0"/>
          <w:tab w:val="left" w:pos="993"/>
        </w:tabs>
        <w:suppressAutoHyphens/>
        <w:spacing w:after="0" w:line="240" w:lineRule="atLeast"/>
        <w:ind w:left="993" w:hanging="284"/>
        <w:jc w:val="both"/>
        <w:rPr>
          <w:rFonts w:ascii="Arial" w:hAnsi="Arial" w:cs="Arial"/>
          <w:lang w:val="es-MX"/>
        </w:rPr>
      </w:pPr>
      <w:r w:rsidRPr="002B62A4">
        <w:rPr>
          <w:rFonts w:ascii="Arial" w:hAnsi="Arial" w:cs="Arial"/>
          <w:lang w:val="es-MX"/>
        </w:rPr>
        <w:t>Monto de las líneas de crédito registradas en cuentas c</w:t>
      </w:r>
      <w:r w:rsidR="00C70337">
        <w:rPr>
          <w:rFonts w:ascii="Arial" w:hAnsi="Arial" w:cs="Arial"/>
          <w:lang w:val="es-MX"/>
        </w:rPr>
        <w:t>ontingentes por tipo de crédito.</w:t>
      </w:r>
    </w:p>
    <w:p w:rsidR="00C70337" w:rsidRPr="001F188A" w:rsidRDefault="00C70337" w:rsidP="00C70337">
      <w:pPr>
        <w:tabs>
          <w:tab w:val="left" w:pos="-720"/>
          <w:tab w:val="left" w:pos="0"/>
          <w:tab w:val="left" w:pos="900"/>
        </w:tabs>
        <w:suppressAutoHyphens/>
        <w:spacing w:after="0" w:line="240" w:lineRule="atLeast"/>
        <w:ind w:left="426"/>
        <w:jc w:val="both"/>
        <w:rPr>
          <w:rFonts w:ascii="Arial" w:hAnsi="Arial" w:cs="Arial"/>
          <w:lang w:val="es-MX"/>
        </w:rPr>
      </w:pPr>
    </w:p>
    <w:p w:rsidR="00C223EB" w:rsidRDefault="00565239" w:rsidP="00C70337">
      <w:pPr>
        <w:ind w:left="709"/>
        <w:jc w:val="both"/>
        <w:rPr>
          <w:rFonts w:ascii="Arial" w:hAnsi="Arial" w:cs="Arial"/>
          <w:lang w:val="es-NI"/>
        </w:rPr>
      </w:pPr>
      <w:r>
        <w:rPr>
          <w:rFonts w:ascii="Arial" w:hAnsi="Arial" w:cs="Arial"/>
          <w:lang w:val="es-NI"/>
        </w:rPr>
        <w:t>A</w:t>
      </w:r>
      <w:r w:rsidRPr="007B10F8">
        <w:rPr>
          <w:rFonts w:ascii="Arial" w:hAnsi="Arial" w:cs="Arial"/>
          <w:lang w:val="es-NI"/>
        </w:rPr>
        <w:t>dicionalmente, presentar un detalle del movimiento de la provisión de la cartera de créditos para cada período contable presentado. Dicho detalle debe presentarse de la siguiente manera:</w:t>
      </w:r>
    </w:p>
    <w:p w:rsidR="00A91E8B" w:rsidRDefault="00A91E8B" w:rsidP="00C70337">
      <w:pPr>
        <w:ind w:left="709"/>
        <w:jc w:val="both"/>
        <w:rPr>
          <w:rFonts w:ascii="Arial" w:hAnsi="Arial" w:cs="Arial"/>
          <w:lang w:val="es-NI"/>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86"/>
        <w:gridCol w:w="5291"/>
        <w:gridCol w:w="498"/>
        <w:gridCol w:w="974"/>
        <w:gridCol w:w="1170"/>
      </w:tblGrid>
      <w:tr w:rsidR="004D4995" w:rsidRPr="007A3579" w:rsidTr="00A9440D">
        <w:trPr>
          <w:trHeight w:val="20"/>
          <w:jc w:val="center"/>
        </w:trPr>
        <w:tc>
          <w:tcPr>
            <w:tcW w:w="6775"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r w:rsidRPr="007A3579">
              <w:rPr>
                <w:rFonts w:ascii="Arial" w:hAnsi="Arial" w:cs="Arial"/>
                <w:sz w:val="22"/>
                <w:szCs w:val="22"/>
              </w:rPr>
              <w:lastRenderedPageBreak/>
              <w:tab/>
            </w:r>
            <w:r w:rsidRPr="007A3579">
              <w:rPr>
                <w:rFonts w:ascii="Arial" w:hAnsi="Arial" w:cs="Arial"/>
                <w:b/>
                <w:sz w:val="22"/>
                <w:szCs w:val="22"/>
              </w:rPr>
              <w:t>Movimiento de Provisión de la Cartera de Créditos</w:t>
            </w:r>
          </w:p>
        </w:tc>
        <w:tc>
          <w:tcPr>
            <w:tcW w:w="974" w:type="dxa"/>
            <w:tcBorders>
              <w:top w:val="single" w:sz="4" w:space="0" w:color="auto"/>
              <w:left w:val="single" w:sz="4" w:space="0" w:color="auto"/>
              <w:bottom w:val="single" w:sz="12" w:space="0" w:color="auto"/>
              <w:right w:val="single" w:sz="4" w:space="0" w:color="auto"/>
            </w:tcBorders>
            <w:shd w:val="clear" w:color="auto" w:fill="auto"/>
            <w:vAlign w:val="center"/>
          </w:tcPr>
          <w:p w:rsidR="004D4995" w:rsidRPr="007A3579" w:rsidRDefault="004D4995" w:rsidP="001F188A">
            <w:pPr>
              <w:autoSpaceDE w:val="0"/>
              <w:autoSpaceDN w:val="0"/>
              <w:adjustRightInd w:val="0"/>
              <w:jc w:val="center"/>
              <w:rPr>
                <w:rFonts w:ascii="Arial" w:hAnsi="Arial" w:cs="Arial"/>
                <w:b/>
                <w:sz w:val="22"/>
                <w:szCs w:val="22"/>
              </w:rPr>
            </w:pPr>
            <w:r w:rsidRPr="007A3579">
              <w:rPr>
                <w:rFonts w:ascii="Arial" w:hAnsi="Arial" w:cs="Arial"/>
                <w:b/>
                <w:sz w:val="22"/>
                <w:szCs w:val="22"/>
              </w:rPr>
              <w:t>AÑO  X</w:t>
            </w:r>
          </w:p>
        </w:tc>
        <w:tc>
          <w:tcPr>
            <w:tcW w:w="1170" w:type="dxa"/>
            <w:tcBorders>
              <w:top w:val="single" w:sz="4" w:space="0" w:color="auto"/>
              <w:left w:val="single" w:sz="4" w:space="0" w:color="auto"/>
              <w:bottom w:val="single" w:sz="12" w:space="0" w:color="auto"/>
              <w:right w:val="single" w:sz="4" w:space="0" w:color="auto"/>
            </w:tcBorders>
            <w:shd w:val="clear" w:color="auto" w:fill="auto"/>
            <w:vAlign w:val="center"/>
          </w:tcPr>
          <w:p w:rsidR="004D4995" w:rsidRPr="007A3579" w:rsidRDefault="004D4995" w:rsidP="001F188A">
            <w:pPr>
              <w:autoSpaceDE w:val="0"/>
              <w:autoSpaceDN w:val="0"/>
              <w:adjustRightInd w:val="0"/>
              <w:jc w:val="center"/>
              <w:rPr>
                <w:rFonts w:ascii="Arial" w:hAnsi="Arial" w:cs="Arial"/>
                <w:b/>
                <w:sz w:val="22"/>
                <w:szCs w:val="22"/>
              </w:rPr>
            </w:pPr>
            <w:r w:rsidRPr="007A3579">
              <w:rPr>
                <w:rFonts w:ascii="Arial" w:hAnsi="Arial" w:cs="Arial"/>
                <w:b/>
                <w:sz w:val="22"/>
                <w:szCs w:val="22"/>
              </w:rPr>
              <w:t>AÑO  X-1</w:t>
            </w:r>
          </w:p>
        </w:tc>
      </w:tr>
      <w:tr w:rsidR="004D4995" w:rsidRPr="007A3579" w:rsidTr="00A9440D">
        <w:trPr>
          <w:trHeight w:val="20"/>
          <w:jc w:val="center"/>
        </w:trPr>
        <w:tc>
          <w:tcPr>
            <w:tcW w:w="6277"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r w:rsidRPr="007A3579">
              <w:rPr>
                <w:rFonts w:ascii="Arial" w:hAnsi="Arial" w:cs="Arial"/>
                <w:b/>
                <w:sz w:val="22"/>
                <w:szCs w:val="22"/>
              </w:rPr>
              <w:t>Saldo de provisión al inicio del año</w:t>
            </w:r>
          </w:p>
        </w:tc>
        <w:tc>
          <w:tcPr>
            <w:tcW w:w="498" w:type="dxa"/>
            <w:tcBorders>
              <w:top w:val="single" w:sz="12" w:space="0" w:color="auto"/>
              <w:left w:val="single" w:sz="4" w:space="0" w:color="auto"/>
              <w:bottom w:val="single" w:sz="8"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r w:rsidRPr="007A3579">
              <w:rPr>
                <w:rFonts w:ascii="Arial" w:hAnsi="Arial" w:cs="Arial"/>
                <w:b/>
                <w:sz w:val="22"/>
                <w:szCs w:val="22"/>
              </w:rPr>
              <w:t>C$</w:t>
            </w:r>
          </w:p>
        </w:tc>
        <w:tc>
          <w:tcPr>
            <w:tcW w:w="974" w:type="dxa"/>
            <w:tcBorders>
              <w:top w:val="single" w:sz="12" w:space="0" w:color="auto"/>
              <w:left w:val="single" w:sz="4" w:space="0" w:color="auto"/>
              <w:bottom w:val="single" w:sz="8"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12" w:space="0" w:color="auto"/>
              <w:left w:val="single" w:sz="4" w:space="0" w:color="auto"/>
              <w:bottom w:val="single" w:sz="8"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r w:rsidR="004D4995" w:rsidRPr="007A3579" w:rsidTr="00A9440D">
        <w:trPr>
          <w:trHeight w:val="20"/>
          <w:jc w:val="center"/>
        </w:trPr>
        <w:tc>
          <w:tcPr>
            <w:tcW w:w="986" w:type="dxa"/>
            <w:tcBorders>
              <w:top w:val="single" w:sz="8" w:space="0" w:color="auto"/>
              <w:left w:val="single" w:sz="4" w:space="0" w:color="auto"/>
              <w:bottom w:val="single" w:sz="8"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r w:rsidRPr="007A3579">
              <w:rPr>
                <w:rFonts w:ascii="Arial" w:hAnsi="Arial" w:cs="Arial"/>
                <w:b/>
                <w:sz w:val="22"/>
                <w:szCs w:val="22"/>
              </w:rPr>
              <w:t>Más:</w:t>
            </w:r>
          </w:p>
        </w:tc>
        <w:tc>
          <w:tcPr>
            <w:tcW w:w="5291" w:type="dxa"/>
            <w:tcBorders>
              <w:top w:val="single" w:sz="8" w:space="0" w:color="auto"/>
              <w:bottom w:val="single" w:sz="8"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498" w:type="dxa"/>
            <w:tcBorders>
              <w:top w:val="single" w:sz="8"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8"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1170" w:type="dxa"/>
            <w:tcBorders>
              <w:top w:val="single" w:sz="8"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b/>
                <w:sz w:val="22"/>
                <w:szCs w:val="22"/>
              </w:rPr>
            </w:pPr>
          </w:p>
        </w:tc>
      </w:tr>
      <w:tr w:rsidR="004D4995" w:rsidRPr="0054656E" w:rsidTr="00A9440D">
        <w:trPr>
          <w:trHeight w:val="20"/>
          <w:jc w:val="center"/>
        </w:trPr>
        <w:tc>
          <w:tcPr>
            <w:tcW w:w="986" w:type="dxa"/>
            <w:tcBorders>
              <w:top w:val="single" w:sz="4"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5291" w:type="dxa"/>
            <w:tcBorders>
              <w:top w:val="single" w:sz="4" w:space="0" w:color="auto"/>
              <w:bottom w:val="single" w:sz="4" w:space="0" w:color="auto"/>
              <w:right w:val="single" w:sz="4" w:space="0" w:color="auto"/>
            </w:tcBorders>
            <w:shd w:val="clear" w:color="auto" w:fill="auto"/>
            <w:vAlign w:val="center"/>
          </w:tcPr>
          <w:p w:rsidR="004D4995" w:rsidRPr="00E46FD1" w:rsidRDefault="004D4995" w:rsidP="001F188A">
            <w:pPr>
              <w:autoSpaceDE w:val="0"/>
              <w:autoSpaceDN w:val="0"/>
              <w:adjustRightInd w:val="0"/>
              <w:jc w:val="both"/>
              <w:rPr>
                <w:rFonts w:ascii="Arial" w:hAnsi="Arial" w:cs="Arial"/>
                <w:sz w:val="22"/>
                <w:szCs w:val="22"/>
              </w:rPr>
            </w:pPr>
            <w:r w:rsidRPr="00E46FD1">
              <w:rPr>
                <w:rFonts w:ascii="Arial" w:hAnsi="Arial" w:cs="Arial"/>
                <w:sz w:val="22"/>
                <w:szCs w:val="22"/>
              </w:rPr>
              <w:t>Constitución de provisiones para cartera de créditos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r w:rsidR="004D4995" w:rsidRPr="007A3579" w:rsidTr="00A9440D">
        <w:trPr>
          <w:trHeight w:val="20"/>
          <w:jc w:val="center"/>
        </w:trPr>
        <w:tc>
          <w:tcPr>
            <w:tcW w:w="986" w:type="dxa"/>
            <w:tcBorders>
              <w:top w:val="single" w:sz="4"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5291" w:type="dxa"/>
            <w:tcBorders>
              <w:top w:val="single" w:sz="4" w:space="0" w:color="auto"/>
              <w:bottom w:val="single" w:sz="4" w:space="0" w:color="auto"/>
              <w:right w:val="single" w:sz="4" w:space="0" w:color="auto"/>
            </w:tcBorders>
            <w:shd w:val="clear" w:color="auto" w:fill="auto"/>
            <w:vAlign w:val="center"/>
          </w:tcPr>
          <w:p w:rsidR="004D4995" w:rsidRPr="00E46FD1" w:rsidRDefault="004D4995" w:rsidP="001F188A">
            <w:pPr>
              <w:autoSpaceDE w:val="0"/>
              <w:autoSpaceDN w:val="0"/>
              <w:adjustRightInd w:val="0"/>
              <w:jc w:val="both"/>
              <w:rPr>
                <w:rFonts w:ascii="Arial" w:hAnsi="Arial" w:cs="Arial"/>
                <w:sz w:val="22"/>
                <w:szCs w:val="22"/>
              </w:rPr>
            </w:pPr>
            <w:r w:rsidRPr="00E46FD1">
              <w:rPr>
                <w:rFonts w:ascii="Arial" w:hAnsi="Arial" w:cs="Arial"/>
                <w:sz w:val="22"/>
                <w:szCs w:val="22"/>
              </w:rPr>
              <w:t>Recuperaciones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7A3579" w:rsidTr="00A9440D">
        <w:trPr>
          <w:trHeight w:val="20"/>
          <w:jc w:val="center"/>
        </w:trPr>
        <w:tc>
          <w:tcPr>
            <w:tcW w:w="986" w:type="dxa"/>
            <w:tcBorders>
              <w:top w:val="single" w:sz="4"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5291" w:type="dxa"/>
            <w:tcBorders>
              <w:top w:val="single" w:sz="4" w:space="0" w:color="auto"/>
              <w:bottom w:val="single" w:sz="4" w:space="0" w:color="auto"/>
              <w:right w:val="single" w:sz="4" w:space="0" w:color="auto"/>
            </w:tcBorders>
            <w:shd w:val="clear" w:color="auto" w:fill="auto"/>
            <w:vAlign w:val="center"/>
          </w:tcPr>
          <w:p w:rsidR="004D4995" w:rsidRPr="00E46FD1" w:rsidRDefault="004D4995" w:rsidP="001F188A">
            <w:pPr>
              <w:autoSpaceDE w:val="0"/>
              <w:autoSpaceDN w:val="0"/>
              <w:adjustRightInd w:val="0"/>
              <w:jc w:val="both"/>
              <w:rPr>
                <w:rFonts w:ascii="Arial" w:hAnsi="Arial" w:cs="Arial"/>
                <w:sz w:val="22"/>
                <w:szCs w:val="22"/>
              </w:rPr>
            </w:pPr>
            <w:r w:rsidRPr="00E46FD1">
              <w:rPr>
                <w:rFonts w:ascii="Arial" w:hAnsi="Arial" w:cs="Arial"/>
                <w:sz w:val="22"/>
                <w:szCs w:val="22"/>
              </w:rPr>
              <w:t>Reclasificaciones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7A3579" w:rsidTr="00A9440D">
        <w:trPr>
          <w:trHeight w:val="20"/>
          <w:jc w:val="center"/>
        </w:trPr>
        <w:tc>
          <w:tcPr>
            <w:tcW w:w="986" w:type="dxa"/>
            <w:tcBorders>
              <w:top w:val="single" w:sz="4"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5291" w:type="dxa"/>
            <w:tcBorders>
              <w:top w:val="single" w:sz="4" w:space="0" w:color="auto"/>
              <w:bottom w:val="single" w:sz="4" w:space="0" w:color="auto"/>
              <w:right w:val="single" w:sz="4" w:space="0" w:color="auto"/>
            </w:tcBorders>
            <w:shd w:val="clear" w:color="auto" w:fill="auto"/>
            <w:vAlign w:val="center"/>
          </w:tcPr>
          <w:p w:rsidR="004D4995" w:rsidRPr="00E46FD1" w:rsidRDefault="004D4995" w:rsidP="001F188A">
            <w:pPr>
              <w:autoSpaceDE w:val="0"/>
              <w:autoSpaceDN w:val="0"/>
              <w:adjustRightInd w:val="0"/>
              <w:jc w:val="both"/>
              <w:rPr>
                <w:rFonts w:ascii="Arial" w:hAnsi="Arial" w:cs="Arial"/>
                <w:sz w:val="22"/>
                <w:szCs w:val="22"/>
              </w:rPr>
            </w:pPr>
            <w:r w:rsidRPr="00E46FD1">
              <w:rPr>
                <w:rFonts w:ascii="Arial" w:hAnsi="Arial" w:cs="Arial"/>
                <w:sz w:val="22"/>
                <w:szCs w:val="22"/>
              </w:rPr>
              <w:t>Mantenimiento de Valor</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7A3579" w:rsidTr="00A9440D">
        <w:trPr>
          <w:trHeight w:val="20"/>
          <w:jc w:val="center"/>
        </w:trPr>
        <w:tc>
          <w:tcPr>
            <w:tcW w:w="986" w:type="dxa"/>
            <w:tcBorders>
              <w:top w:val="single" w:sz="4"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5291" w:type="dxa"/>
            <w:tcBorders>
              <w:top w:val="single" w:sz="4" w:space="0" w:color="auto"/>
              <w:bottom w:val="single" w:sz="4" w:space="0" w:color="auto"/>
              <w:right w:val="single" w:sz="4" w:space="0" w:color="auto"/>
            </w:tcBorders>
            <w:shd w:val="clear" w:color="auto" w:fill="auto"/>
            <w:vAlign w:val="center"/>
          </w:tcPr>
          <w:p w:rsidR="004D4995" w:rsidRPr="00E46FD1" w:rsidRDefault="004D4995" w:rsidP="001F188A">
            <w:pPr>
              <w:autoSpaceDE w:val="0"/>
              <w:autoSpaceDN w:val="0"/>
              <w:adjustRightInd w:val="0"/>
              <w:jc w:val="both"/>
              <w:rPr>
                <w:rFonts w:ascii="Arial" w:hAnsi="Arial" w:cs="Arial"/>
                <w:sz w:val="22"/>
                <w:szCs w:val="22"/>
              </w:rPr>
            </w:pPr>
            <w:r w:rsidRPr="00E46FD1">
              <w:rPr>
                <w:rFonts w:ascii="Arial" w:hAnsi="Arial" w:cs="Arial"/>
                <w:sz w:val="22"/>
                <w:szCs w:val="22"/>
              </w:rPr>
              <w:t>Otros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r w:rsidR="004D4995" w:rsidRPr="007A3579" w:rsidTr="00A9440D">
        <w:trPr>
          <w:trHeight w:val="20"/>
          <w:jc w:val="center"/>
        </w:trPr>
        <w:tc>
          <w:tcPr>
            <w:tcW w:w="986" w:type="dxa"/>
            <w:tcBorders>
              <w:top w:val="single" w:sz="4" w:space="0" w:color="auto"/>
              <w:left w:val="single" w:sz="4" w:space="0" w:color="auto"/>
              <w:bottom w:val="single" w:sz="8"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r w:rsidRPr="007A3579">
              <w:rPr>
                <w:rFonts w:ascii="Arial" w:hAnsi="Arial" w:cs="Arial"/>
                <w:b/>
                <w:sz w:val="22"/>
                <w:szCs w:val="22"/>
              </w:rPr>
              <w:t>Menos:</w:t>
            </w:r>
          </w:p>
        </w:tc>
        <w:tc>
          <w:tcPr>
            <w:tcW w:w="5291" w:type="dxa"/>
            <w:tcBorders>
              <w:top w:val="single" w:sz="4" w:space="0" w:color="auto"/>
              <w:bottom w:val="single" w:sz="8" w:space="0" w:color="auto"/>
              <w:right w:val="single" w:sz="4" w:space="0" w:color="auto"/>
            </w:tcBorders>
            <w:shd w:val="clear" w:color="auto" w:fill="auto"/>
            <w:vAlign w:val="center"/>
          </w:tcPr>
          <w:p w:rsidR="004D4995" w:rsidRPr="00E46FD1" w:rsidRDefault="004D4995" w:rsidP="001F188A">
            <w:pPr>
              <w:autoSpaceDE w:val="0"/>
              <w:autoSpaceDN w:val="0"/>
              <w:adjustRightInd w:val="0"/>
              <w:rPr>
                <w:rFonts w:ascii="Arial" w:hAnsi="Arial" w:cs="Arial"/>
                <w:b/>
                <w:sz w:val="22"/>
                <w:szCs w:val="22"/>
              </w:rPr>
            </w:pP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b/>
                <w:sz w:val="22"/>
                <w:szCs w:val="22"/>
              </w:rPr>
            </w:pPr>
          </w:p>
        </w:tc>
      </w:tr>
      <w:tr w:rsidR="004D4995" w:rsidRPr="00F40E3B" w:rsidTr="00A9440D">
        <w:trPr>
          <w:trHeight w:val="20"/>
          <w:jc w:val="center"/>
        </w:trPr>
        <w:tc>
          <w:tcPr>
            <w:tcW w:w="986" w:type="dxa"/>
            <w:tcBorders>
              <w:top w:val="single" w:sz="8"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5291" w:type="dxa"/>
            <w:tcBorders>
              <w:top w:val="single" w:sz="8" w:space="0" w:color="auto"/>
              <w:bottom w:val="single" w:sz="4" w:space="0" w:color="auto"/>
              <w:right w:val="single" w:sz="4" w:space="0" w:color="auto"/>
            </w:tcBorders>
            <w:shd w:val="clear" w:color="auto" w:fill="auto"/>
            <w:vAlign w:val="center"/>
          </w:tcPr>
          <w:p w:rsidR="004D4995" w:rsidRPr="00B73B5C" w:rsidRDefault="004D4995" w:rsidP="001F188A">
            <w:pPr>
              <w:autoSpaceDE w:val="0"/>
              <w:autoSpaceDN w:val="0"/>
              <w:adjustRightInd w:val="0"/>
              <w:rPr>
                <w:rFonts w:ascii="Arial" w:hAnsi="Arial" w:cs="Arial"/>
                <w:sz w:val="22"/>
                <w:szCs w:val="22"/>
              </w:rPr>
            </w:pPr>
            <w:r w:rsidRPr="00B73B5C">
              <w:rPr>
                <w:rFonts w:ascii="Arial" w:hAnsi="Arial" w:cs="Arial"/>
                <w:sz w:val="22"/>
                <w:szCs w:val="22"/>
              </w:rPr>
              <w:t>Disminución de provisiones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r w:rsidR="004D4995" w:rsidRPr="0054656E" w:rsidTr="00A9440D">
        <w:trPr>
          <w:trHeight w:val="20"/>
          <w:jc w:val="center"/>
        </w:trPr>
        <w:tc>
          <w:tcPr>
            <w:tcW w:w="986" w:type="dxa"/>
            <w:tcBorders>
              <w:top w:val="single" w:sz="8"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5291" w:type="dxa"/>
            <w:tcBorders>
              <w:top w:val="single" w:sz="8" w:space="0" w:color="auto"/>
              <w:bottom w:val="single" w:sz="4" w:space="0" w:color="auto"/>
              <w:right w:val="single" w:sz="4" w:space="0" w:color="auto"/>
            </w:tcBorders>
            <w:shd w:val="clear" w:color="auto" w:fill="auto"/>
            <w:vAlign w:val="center"/>
          </w:tcPr>
          <w:p w:rsidR="004D4995" w:rsidRPr="00B73B5C" w:rsidRDefault="004D4995" w:rsidP="001F188A">
            <w:pPr>
              <w:autoSpaceDE w:val="0"/>
              <w:autoSpaceDN w:val="0"/>
              <w:adjustRightInd w:val="0"/>
              <w:rPr>
                <w:rFonts w:ascii="Arial" w:hAnsi="Arial" w:cs="Arial"/>
                <w:sz w:val="22"/>
                <w:szCs w:val="22"/>
              </w:rPr>
            </w:pPr>
            <w:r w:rsidRPr="00B73B5C">
              <w:rPr>
                <w:rFonts w:ascii="Arial" w:hAnsi="Arial" w:cs="Arial"/>
                <w:sz w:val="22"/>
                <w:szCs w:val="22"/>
              </w:rPr>
              <w:t>Provisión trasladada a bienes adjudicados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r w:rsidR="004D4995" w:rsidRPr="007A3579" w:rsidTr="00A9440D">
        <w:trPr>
          <w:trHeight w:val="20"/>
          <w:jc w:val="center"/>
        </w:trPr>
        <w:tc>
          <w:tcPr>
            <w:tcW w:w="986" w:type="dxa"/>
            <w:tcBorders>
              <w:top w:val="single" w:sz="8" w:space="0" w:color="auto"/>
              <w:left w:val="single" w:sz="4" w:space="0" w:color="auto"/>
              <w:bottom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5291" w:type="dxa"/>
            <w:tcBorders>
              <w:top w:val="single" w:sz="8" w:space="0" w:color="auto"/>
              <w:bottom w:val="single" w:sz="4" w:space="0" w:color="auto"/>
              <w:right w:val="single" w:sz="4" w:space="0" w:color="auto"/>
            </w:tcBorders>
            <w:shd w:val="clear" w:color="auto" w:fill="auto"/>
            <w:vAlign w:val="center"/>
          </w:tcPr>
          <w:p w:rsidR="004D4995" w:rsidRPr="00B73B5C" w:rsidRDefault="004D4995" w:rsidP="001F188A">
            <w:pPr>
              <w:autoSpaceDE w:val="0"/>
              <w:autoSpaceDN w:val="0"/>
              <w:adjustRightInd w:val="0"/>
              <w:rPr>
                <w:rFonts w:ascii="Arial" w:hAnsi="Arial" w:cs="Arial"/>
                <w:sz w:val="22"/>
                <w:szCs w:val="22"/>
              </w:rPr>
            </w:pPr>
            <w:r w:rsidRPr="00B73B5C">
              <w:rPr>
                <w:rFonts w:ascii="Arial" w:hAnsi="Arial" w:cs="Arial"/>
                <w:sz w:val="22"/>
                <w:szCs w:val="22"/>
              </w:rPr>
              <w:t>Reclasificaciones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54656E" w:rsidTr="00A9440D">
        <w:trPr>
          <w:trHeight w:val="20"/>
          <w:jc w:val="center"/>
        </w:trPr>
        <w:tc>
          <w:tcPr>
            <w:tcW w:w="986" w:type="dxa"/>
            <w:tcBorders>
              <w:top w:val="single" w:sz="8" w:space="0" w:color="auto"/>
              <w:left w:val="single" w:sz="4" w:space="0" w:color="auto"/>
              <w:bottom w:val="single" w:sz="4" w:space="0" w:color="auto"/>
            </w:tcBorders>
            <w:shd w:val="clear" w:color="auto" w:fill="auto"/>
            <w:vAlign w:val="center"/>
          </w:tcPr>
          <w:p w:rsidR="004D4995" w:rsidRPr="001A514B" w:rsidRDefault="004D4995" w:rsidP="001F188A">
            <w:pPr>
              <w:autoSpaceDE w:val="0"/>
              <w:autoSpaceDN w:val="0"/>
              <w:adjustRightInd w:val="0"/>
              <w:rPr>
                <w:rFonts w:ascii="Arial" w:hAnsi="Arial" w:cs="Arial"/>
                <w:sz w:val="22"/>
                <w:szCs w:val="22"/>
              </w:rPr>
            </w:pPr>
          </w:p>
        </w:tc>
        <w:tc>
          <w:tcPr>
            <w:tcW w:w="5291" w:type="dxa"/>
            <w:tcBorders>
              <w:top w:val="single" w:sz="8" w:space="0" w:color="auto"/>
              <w:bottom w:val="single" w:sz="4" w:space="0" w:color="auto"/>
              <w:right w:val="single" w:sz="4" w:space="0" w:color="auto"/>
            </w:tcBorders>
            <w:shd w:val="clear" w:color="auto" w:fill="auto"/>
            <w:vAlign w:val="center"/>
          </w:tcPr>
          <w:p w:rsidR="004D4995" w:rsidRPr="00B73B5C" w:rsidRDefault="004D4995" w:rsidP="001F188A">
            <w:pPr>
              <w:autoSpaceDE w:val="0"/>
              <w:autoSpaceDN w:val="0"/>
              <w:adjustRightInd w:val="0"/>
              <w:rPr>
                <w:rFonts w:ascii="Arial" w:hAnsi="Arial" w:cs="Arial"/>
                <w:sz w:val="22"/>
                <w:szCs w:val="22"/>
              </w:rPr>
            </w:pPr>
            <w:r w:rsidRPr="00B73B5C">
              <w:rPr>
                <w:rFonts w:ascii="Arial" w:hAnsi="Arial" w:cs="Arial"/>
                <w:sz w:val="22"/>
                <w:szCs w:val="22"/>
              </w:rPr>
              <w:t>Saneamiento de la Cartera de Créditos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7A3579" w:rsidTr="00A9440D">
        <w:trPr>
          <w:trHeight w:val="20"/>
          <w:jc w:val="center"/>
        </w:trPr>
        <w:tc>
          <w:tcPr>
            <w:tcW w:w="986" w:type="dxa"/>
            <w:tcBorders>
              <w:top w:val="single" w:sz="8" w:space="0" w:color="auto"/>
              <w:left w:val="single" w:sz="4" w:space="0" w:color="auto"/>
              <w:bottom w:val="single" w:sz="4" w:space="0" w:color="auto"/>
            </w:tcBorders>
            <w:shd w:val="clear" w:color="auto" w:fill="auto"/>
            <w:vAlign w:val="center"/>
          </w:tcPr>
          <w:p w:rsidR="004D4995" w:rsidRPr="001A514B" w:rsidRDefault="004D4995" w:rsidP="002F23BB">
            <w:pPr>
              <w:autoSpaceDE w:val="0"/>
              <w:autoSpaceDN w:val="0"/>
              <w:adjustRightInd w:val="0"/>
              <w:ind w:left="-50"/>
              <w:rPr>
                <w:rFonts w:ascii="Arial" w:hAnsi="Arial" w:cs="Arial"/>
              </w:rPr>
            </w:pPr>
          </w:p>
        </w:tc>
        <w:tc>
          <w:tcPr>
            <w:tcW w:w="5291" w:type="dxa"/>
            <w:tcBorders>
              <w:top w:val="single" w:sz="8" w:space="0" w:color="auto"/>
              <w:bottom w:val="single" w:sz="4" w:space="0" w:color="auto"/>
              <w:right w:val="single" w:sz="4" w:space="0" w:color="auto"/>
            </w:tcBorders>
            <w:shd w:val="clear" w:color="auto" w:fill="auto"/>
            <w:vAlign w:val="center"/>
          </w:tcPr>
          <w:p w:rsidR="004D4995" w:rsidRPr="00B73B5C" w:rsidRDefault="004D4995" w:rsidP="001F188A">
            <w:pPr>
              <w:autoSpaceDE w:val="0"/>
              <w:autoSpaceDN w:val="0"/>
              <w:adjustRightInd w:val="0"/>
              <w:rPr>
                <w:rFonts w:ascii="Arial" w:hAnsi="Arial" w:cs="Arial"/>
              </w:rPr>
            </w:pPr>
            <w:r w:rsidRPr="00B73B5C">
              <w:rPr>
                <w:rFonts w:ascii="Arial" w:hAnsi="Arial" w:cs="Arial"/>
                <w:sz w:val="22"/>
                <w:szCs w:val="22"/>
              </w:rPr>
              <w:t>Otros</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rPr>
            </w:pP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rPr>
            </w:pPr>
          </w:p>
        </w:tc>
      </w:tr>
      <w:tr w:rsidR="004D4995" w:rsidRPr="007A3579" w:rsidTr="00A9440D">
        <w:trPr>
          <w:trHeight w:val="20"/>
          <w:jc w:val="center"/>
        </w:trPr>
        <w:tc>
          <w:tcPr>
            <w:tcW w:w="6277"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r w:rsidRPr="007A3579">
              <w:rPr>
                <w:rFonts w:ascii="Arial" w:hAnsi="Arial" w:cs="Arial"/>
                <w:b/>
                <w:sz w:val="22"/>
                <w:szCs w:val="22"/>
              </w:rPr>
              <w:t>Saldo de provisión al final del año</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b/>
                <w:sz w:val="22"/>
                <w:szCs w:val="22"/>
              </w:rPr>
            </w:pPr>
            <w:r w:rsidRPr="007A3579">
              <w:rPr>
                <w:rFonts w:ascii="Arial" w:hAnsi="Arial" w:cs="Arial"/>
                <w:b/>
                <w:sz w:val="22"/>
                <w:szCs w:val="22"/>
              </w:rPr>
              <w:t>C$</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rsidR="004D4995" w:rsidRPr="007A3579" w:rsidRDefault="004D4995" w:rsidP="001F188A">
            <w:pPr>
              <w:autoSpaceDE w:val="0"/>
              <w:autoSpaceDN w:val="0"/>
              <w:adjustRightInd w:val="0"/>
              <w:rPr>
                <w:rFonts w:ascii="Arial" w:hAnsi="Arial" w:cs="Arial"/>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4D4995" w:rsidRPr="007A3579" w:rsidRDefault="004D4995" w:rsidP="001F188A">
            <w:pPr>
              <w:autoSpaceDE w:val="0"/>
              <w:autoSpaceDN w:val="0"/>
              <w:adjustRightInd w:val="0"/>
              <w:rPr>
                <w:rFonts w:ascii="Arial" w:hAnsi="Arial" w:cs="Arial"/>
                <w:sz w:val="22"/>
                <w:szCs w:val="22"/>
              </w:rPr>
            </w:pPr>
          </w:p>
        </w:tc>
      </w:tr>
    </w:tbl>
    <w:p w:rsidR="00E71396" w:rsidRDefault="00E71396" w:rsidP="00E71396">
      <w:pPr>
        <w:pStyle w:val="Numerales"/>
        <w:numPr>
          <w:ilvl w:val="0"/>
          <w:numId w:val="0"/>
        </w:numPr>
        <w:ind w:left="567"/>
      </w:pPr>
      <w:bookmarkStart w:id="13" w:name="_Toc494460994"/>
    </w:p>
    <w:p w:rsidR="00565239" w:rsidRDefault="00565239" w:rsidP="00C70337">
      <w:pPr>
        <w:pStyle w:val="Numerales"/>
        <w:tabs>
          <w:tab w:val="clear" w:pos="540"/>
          <w:tab w:val="num" w:pos="567"/>
        </w:tabs>
        <w:ind w:left="567" w:hanging="283"/>
      </w:pPr>
      <w:bookmarkStart w:id="14" w:name="_Toc516736962"/>
      <w:r>
        <w:t>CUENTAS POR COBRAR</w:t>
      </w:r>
      <w:bookmarkEnd w:id="13"/>
      <w:bookmarkEnd w:id="14"/>
    </w:p>
    <w:p w:rsidR="000154E6" w:rsidRDefault="000154E6" w:rsidP="000154E6">
      <w:pPr>
        <w:pStyle w:val="Arely2"/>
        <w:numPr>
          <w:ilvl w:val="0"/>
          <w:numId w:val="0"/>
        </w:numPr>
        <w:ind w:left="576"/>
      </w:pPr>
    </w:p>
    <w:p w:rsidR="00991A5E" w:rsidRPr="00547422" w:rsidRDefault="00565239" w:rsidP="002F23BB">
      <w:pPr>
        <w:numPr>
          <w:ilvl w:val="0"/>
          <w:numId w:val="44"/>
        </w:numPr>
        <w:tabs>
          <w:tab w:val="clear" w:pos="1440"/>
          <w:tab w:val="left" w:pos="-720"/>
          <w:tab w:val="left" w:pos="0"/>
          <w:tab w:val="left" w:pos="993"/>
        </w:tabs>
        <w:suppressAutoHyphens/>
        <w:spacing w:after="240" w:line="240" w:lineRule="atLeast"/>
        <w:ind w:left="644" w:hanging="77"/>
        <w:contextualSpacing/>
        <w:jc w:val="both"/>
        <w:rPr>
          <w:rFonts w:ascii="Arial" w:hAnsi="Arial" w:cs="Arial"/>
          <w:lang w:val="es-NI"/>
        </w:rPr>
      </w:pPr>
      <w:r w:rsidRPr="00547422">
        <w:rPr>
          <w:rFonts w:ascii="Arial" w:hAnsi="Arial" w:cs="Arial"/>
          <w:lang w:val="es-NI"/>
        </w:rPr>
        <w:t>Revelar la composición del saldo Ot</w:t>
      </w:r>
      <w:r w:rsidR="00547422">
        <w:rPr>
          <w:rFonts w:ascii="Arial" w:hAnsi="Arial" w:cs="Arial"/>
          <w:lang w:val="es-NI"/>
        </w:rPr>
        <w:t xml:space="preserve">ras Cuentas por Cobrar </w:t>
      </w:r>
      <w:r w:rsidRPr="00547422">
        <w:rPr>
          <w:rFonts w:ascii="Arial" w:hAnsi="Arial" w:cs="Arial"/>
          <w:lang w:val="es-NI"/>
        </w:rPr>
        <w:t xml:space="preserve">y la información que considere pertinente y necesaria para la comprensión de los Estados Financieros por parte de los usuarios. </w:t>
      </w:r>
    </w:p>
    <w:p w:rsidR="00547422" w:rsidRPr="00547422" w:rsidRDefault="00547422" w:rsidP="00547422">
      <w:pPr>
        <w:tabs>
          <w:tab w:val="left" w:pos="-720"/>
          <w:tab w:val="left" w:pos="0"/>
          <w:tab w:val="left" w:pos="993"/>
        </w:tabs>
        <w:suppressAutoHyphens/>
        <w:spacing w:after="240" w:line="240" w:lineRule="atLeast"/>
        <w:ind w:left="644"/>
        <w:contextualSpacing/>
        <w:jc w:val="both"/>
        <w:rPr>
          <w:rFonts w:ascii="Arial" w:hAnsi="Arial" w:cs="Arial"/>
          <w:lang w:val="es-NI"/>
        </w:rPr>
      </w:pPr>
    </w:p>
    <w:tbl>
      <w:tblPr>
        <w:tblStyle w:val="Tablaconcuadrcula"/>
        <w:tblW w:w="4394" w:type="pct"/>
        <w:tblInd w:w="89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312"/>
        <w:gridCol w:w="1584"/>
        <w:gridCol w:w="1442"/>
      </w:tblGrid>
      <w:tr w:rsidR="00565239" w:rsidRPr="00D479C0" w:rsidTr="002F23BB">
        <w:trPr>
          <w:trHeight w:val="297"/>
        </w:trPr>
        <w:tc>
          <w:tcPr>
            <w:tcW w:w="3185" w:type="pct"/>
            <w:tcBorders>
              <w:top w:val="single" w:sz="12" w:space="0" w:color="auto"/>
              <w:bottom w:val="single" w:sz="12" w:space="0" w:color="auto"/>
            </w:tcBorders>
            <w:shd w:val="clear" w:color="auto" w:fill="auto"/>
            <w:vAlign w:val="center"/>
          </w:tcPr>
          <w:p w:rsidR="00565239" w:rsidRPr="00DC4C7B" w:rsidRDefault="00565239" w:rsidP="001F188A">
            <w:pPr>
              <w:jc w:val="center"/>
              <w:rPr>
                <w:rFonts w:ascii="Arial" w:hAnsi="Arial" w:cs="Arial"/>
                <w:b/>
                <w:sz w:val="22"/>
                <w:szCs w:val="18"/>
              </w:rPr>
            </w:pPr>
            <w:r w:rsidRPr="00DC4C7B">
              <w:rPr>
                <w:rFonts w:ascii="Arial" w:hAnsi="Arial" w:cs="Arial"/>
                <w:b/>
                <w:sz w:val="22"/>
                <w:szCs w:val="18"/>
              </w:rPr>
              <w:t>Nombre de la Cuenta</w:t>
            </w:r>
          </w:p>
        </w:tc>
        <w:tc>
          <w:tcPr>
            <w:tcW w:w="950" w:type="pct"/>
            <w:tcBorders>
              <w:top w:val="single" w:sz="12" w:space="0" w:color="auto"/>
              <w:bottom w:val="single" w:sz="12" w:space="0" w:color="auto"/>
            </w:tcBorders>
            <w:shd w:val="clear" w:color="auto" w:fill="auto"/>
            <w:vAlign w:val="center"/>
          </w:tcPr>
          <w:p w:rsidR="00565239" w:rsidRPr="00DC4C7B" w:rsidRDefault="00565239" w:rsidP="001F188A">
            <w:pPr>
              <w:jc w:val="center"/>
              <w:rPr>
                <w:rFonts w:ascii="Arial" w:hAnsi="Arial" w:cs="Arial"/>
                <w:b/>
                <w:sz w:val="22"/>
                <w:szCs w:val="18"/>
              </w:rPr>
            </w:pPr>
            <w:r w:rsidRPr="00DC4C7B">
              <w:rPr>
                <w:rFonts w:ascii="Arial" w:hAnsi="Arial" w:cs="Arial"/>
                <w:b/>
                <w:sz w:val="22"/>
                <w:szCs w:val="18"/>
              </w:rPr>
              <w:t>AÑO  X</w:t>
            </w:r>
          </w:p>
        </w:tc>
        <w:tc>
          <w:tcPr>
            <w:tcW w:w="865" w:type="pct"/>
            <w:tcBorders>
              <w:top w:val="single" w:sz="12" w:space="0" w:color="auto"/>
              <w:bottom w:val="single" w:sz="12" w:space="0" w:color="auto"/>
            </w:tcBorders>
            <w:shd w:val="clear" w:color="auto" w:fill="auto"/>
            <w:vAlign w:val="center"/>
          </w:tcPr>
          <w:p w:rsidR="00565239" w:rsidRPr="00DC4C7B" w:rsidRDefault="00565239" w:rsidP="001F188A">
            <w:pPr>
              <w:jc w:val="center"/>
              <w:rPr>
                <w:rFonts w:ascii="Arial" w:hAnsi="Arial" w:cs="Arial"/>
                <w:b/>
                <w:sz w:val="22"/>
                <w:szCs w:val="18"/>
              </w:rPr>
            </w:pPr>
            <w:r w:rsidRPr="00DC4C7B">
              <w:rPr>
                <w:rFonts w:ascii="Arial" w:hAnsi="Arial" w:cs="Arial"/>
                <w:b/>
                <w:sz w:val="22"/>
                <w:szCs w:val="18"/>
              </w:rPr>
              <w:t>AÑO  X-1</w:t>
            </w:r>
          </w:p>
        </w:tc>
      </w:tr>
      <w:tr w:rsidR="00565239" w:rsidRPr="00D479C0" w:rsidTr="002F23BB">
        <w:tc>
          <w:tcPr>
            <w:tcW w:w="3185" w:type="pct"/>
            <w:tcBorders>
              <w:top w:val="single" w:sz="12" w:space="0" w:color="auto"/>
            </w:tcBorders>
            <w:shd w:val="clear" w:color="auto" w:fill="auto"/>
            <w:vAlign w:val="center"/>
          </w:tcPr>
          <w:p w:rsidR="00565239" w:rsidRPr="00DC4C7B" w:rsidRDefault="00565239" w:rsidP="001F188A">
            <w:pPr>
              <w:jc w:val="center"/>
              <w:rPr>
                <w:rFonts w:ascii="Arial" w:hAnsi="Arial" w:cs="Arial"/>
                <w:i/>
                <w:sz w:val="22"/>
                <w:szCs w:val="18"/>
              </w:rPr>
            </w:pPr>
            <w:r w:rsidRPr="00DC4C7B">
              <w:rPr>
                <w:rFonts w:ascii="Arial" w:hAnsi="Arial" w:cs="Arial"/>
                <w:i/>
                <w:sz w:val="22"/>
                <w:szCs w:val="18"/>
              </w:rPr>
              <w:t>(Detallar)</w:t>
            </w:r>
          </w:p>
        </w:tc>
        <w:tc>
          <w:tcPr>
            <w:tcW w:w="950" w:type="pct"/>
            <w:tcBorders>
              <w:top w:val="single" w:sz="12" w:space="0" w:color="auto"/>
            </w:tcBorders>
            <w:shd w:val="clear" w:color="auto" w:fill="auto"/>
            <w:vAlign w:val="center"/>
          </w:tcPr>
          <w:p w:rsidR="00565239" w:rsidRPr="00DC4C7B" w:rsidRDefault="00565239" w:rsidP="001F188A">
            <w:pPr>
              <w:jc w:val="center"/>
              <w:rPr>
                <w:rFonts w:ascii="Arial" w:hAnsi="Arial" w:cs="Arial"/>
                <w:sz w:val="22"/>
                <w:szCs w:val="18"/>
              </w:rPr>
            </w:pPr>
          </w:p>
        </w:tc>
        <w:tc>
          <w:tcPr>
            <w:tcW w:w="865" w:type="pct"/>
            <w:tcBorders>
              <w:top w:val="single" w:sz="12" w:space="0" w:color="auto"/>
            </w:tcBorders>
            <w:shd w:val="clear" w:color="auto" w:fill="auto"/>
            <w:vAlign w:val="center"/>
          </w:tcPr>
          <w:p w:rsidR="00565239" w:rsidRPr="00DC4C7B" w:rsidRDefault="00565239" w:rsidP="001F188A">
            <w:pPr>
              <w:jc w:val="center"/>
              <w:rPr>
                <w:rFonts w:ascii="Arial" w:hAnsi="Arial" w:cs="Arial"/>
                <w:sz w:val="22"/>
                <w:szCs w:val="18"/>
              </w:rPr>
            </w:pPr>
          </w:p>
        </w:tc>
      </w:tr>
      <w:tr w:rsidR="00565239" w:rsidRPr="00D479C0" w:rsidTr="002F23BB">
        <w:tc>
          <w:tcPr>
            <w:tcW w:w="3185" w:type="pct"/>
            <w:shd w:val="clear" w:color="auto" w:fill="auto"/>
            <w:vAlign w:val="center"/>
          </w:tcPr>
          <w:p w:rsidR="00565239" w:rsidRPr="00DC4C7B" w:rsidRDefault="00565239" w:rsidP="001F188A">
            <w:pPr>
              <w:jc w:val="center"/>
              <w:rPr>
                <w:rFonts w:ascii="Arial" w:hAnsi="Arial" w:cs="Arial"/>
                <w:sz w:val="22"/>
                <w:szCs w:val="18"/>
              </w:rPr>
            </w:pPr>
            <w:r w:rsidRPr="00DC4C7B">
              <w:rPr>
                <w:rFonts w:ascii="Arial" w:hAnsi="Arial" w:cs="Arial"/>
                <w:i/>
                <w:sz w:val="22"/>
                <w:szCs w:val="18"/>
              </w:rPr>
              <w:t>(Detallar)</w:t>
            </w:r>
          </w:p>
        </w:tc>
        <w:tc>
          <w:tcPr>
            <w:tcW w:w="950" w:type="pct"/>
            <w:shd w:val="clear" w:color="auto" w:fill="auto"/>
            <w:vAlign w:val="center"/>
          </w:tcPr>
          <w:p w:rsidR="00565239" w:rsidRPr="00DC4C7B" w:rsidRDefault="00565239" w:rsidP="001F188A">
            <w:pPr>
              <w:jc w:val="center"/>
              <w:rPr>
                <w:rFonts w:ascii="Arial" w:hAnsi="Arial" w:cs="Arial"/>
                <w:sz w:val="22"/>
                <w:szCs w:val="18"/>
              </w:rPr>
            </w:pPr>
          </w:p>
        </w:tc>
        <w:tc>
          <w:tcPr>
            <w:tcW w:w="865" w:type="pct"/>
            <w:shd w:val="clear" w:color="auto" w:fill="auto"/>
            <w:vAlign w:val="center"/>
          </w:tcPr>
          <w:p w:rsidR="00565239" w:rsidRPr="00DC4C7B" w:rsidRDefault="00565239" w:rsidP="001F188A">
            <w:pPr>
              <w:jc w:val="center"/>
              <w:rPr>
                <w:rFonts w:ascii="Arial" w:hAnsi="Arial" w:cs="Arial"/>
                <w:sz w:val="22"/>
                <w:szCs w:val="18"/>
              </w:rPr>
            </w:pPr>
          </w:p>
        </w:tc>
      </w:tr>
      <w:tr w:rsidR="00565239" w:rsidRPr="00D479C0" w:rsidTr="002F23BB">
        <w:tc>
          <w:tcPr>
            <w:tcW w:w="3185" w:type="pct"/>
            <w:tcBorders>
              <w:top w:val="single" w:sz="4" w:space="0" w:color="auto"/>
              <w:bottom w:val="double" w:sz="4" w:space="0" w:color="auto"/>
            </w:tcBorders>
            <w:shd w:val="clear" w:color="auto" w:fill="auto"/>
            <w:vAlign w:val="center"/>
          </w:tcPr>
          <w:p w:rsidR="00565239" w:rsidRPr="00DC4C7B" w:rsidRDefault="00565239" w:rsidP="001F188A">
            <w:pPr>
              <w:jc w:val="center"/>
              <w:rPr>
                <w:rFonts w:ascii="Arial" w:hAnsi="Arial" w:cs="Arial"/>
                <w:sz w:val="22"/>
                <w:szCs w:val="18"/>
              </w:rPr>
            </w:pPr>
            <w:r w:rsidRPr="00DC4C7B">
              <w:rPr>
                <w:rFonts w:ascii="Arial" w:hAnsi="Arial" w:cs="Arial"/>
                <w:i/>
                <w:sz w:val="22"/>
                <w:szCs w:val="18"/>
              </w:rPr>
              <w:t>(Detallar)</w:t>
            </w:r>
          </w:p>
        </w:tc>
        <w:tc>
          <w:tcPr>
            <w:tcW w:w="950" w:type="pct"/>
            <w:tcBorders>
              <w:top w:val="single" w:sz="4" w:space="0" w:color="auto"/>
              <w:bottom w:val="double" w:sz="4" w:space="0" w:color="auto"/>
            </w:tcBorders>
            <w:shd w:val="clear" w:color="auto" w:fill="auto"/>
            <w:vAlign w:val="center"/>
          </w:tcPr>
          <w:p w:rsidR="00565239" w:rsidRPr="00DC4C7B" w:rsidRDefault="00565239" w:rsidP="001F188A">
            <w:pPr>
              <w:jc w:val="center"/>
              <w:rPr>
                <w:rFonts w:ascii="Arial" w:hAnsi="Arial" w:cs="Arial"/>
                <w:sz w:val="22"/>
                <w:szCs w:val="18"/>
              </w:rPr>
            </w:pPr>
          </w:p>
        </w:tc>
        <w:tc>
          <w:tcPr>
            <w:tcW w:w="865" w:type="pct"/>
            <w:tcBorders>
              <w:top w:val="single" w:sz="4" w:space="0" w:color="auto"/>
              <w:bottom w:val="double" w:sz="4" w:space="0" w:color="auto"/>
            </w:tcBorders>
            <w:shd w:val="clear" w:color="auto" w:fill="auto"/>
            <w:vAlign w:val="center"/>
          </w:tcPr>
          <w:p w:rsidR="00565239" w:rsidRPr="00DC4C7B" w:rsidRDefault="00565239" w:rsidP="001F188A">
            <w:pPr>
              <w:jc w:val="center"/>
              <w:rPr>
                <w:rFonts w:ascii="Arial" w:hAnsi="Arial" w:cs="Arial"/>
                <w:sz w:val="22"/>
                <w:szCs w:val="18"/>
              </w:rPr>
            </w:pPr>
          </w:p>
        </w:tc>
      </w:tr>
      <w:tr w:rsidR="00565239" w:rsidRPr="0054656E" w:rsidTr="002F23BB">
        <w:trPr>
          <w:trHeight w:val="333"/>
        </w:trPr>
        <w:tc>
          <w:tcPr>
            <w:tcW w:w="3185" w:type="pct"/>
            <w:tcBorders>
              <w:top w:val="double" w:sz="4" w:space="0" w:color="auto"/>
            </w:tcBorders>
            <w:shd w:val="clear" w:color="auto" w:fill="auto"/>
            <w:vAlign w:val="center"/>
          </w:tcPr>
          <w:p w:rsidR="00565239" w:rsidRPr="00DC4C7B" w:rsidRDefault="00565239" w:rsidP="001F188A">
            <w:pPr>
              <w:jc w:val="both"/>
              <w:rPr>
                <w:rFonts w:ascii="Arial" w:hAnsi="Arial" w:cs="Arial"/>
                <w:b/>
                <w:sz w:val="22"/>
                <w:szCs w:val="18"/>
              </w:rPr>
            </w:pPr>
            <w:r w:rsidRPr="00DC4C7B">
              <w:rPr>
                <w:rFonts w:ascii="Arial" w:hAnsi="Arial" w:cs="Arial"/>
                <w:b/>
                <w:sz w:val="22"/>
                <w:szCs w:val="18"/>
              </w:rPr>
              <w:t>Total O</w:t>
            </w:r>
            <w:r w:rsidR="00547422">
              <w:rPr>
                <w:rFonts w:ascii="Arial" w:hAnsi="Arial" w:cs="Arial"/>
                <w:b/>
                <w:sz w:val="22"/>
                <w:szCs w:val="18"/>
              </w:rPr>
              <w:t xml:space="preserve">tras Cuentas por Cobrar </w:t>
            </w:r>
          </w:p>
        </w:tc>
        <w:tc>
          <w:tcPr>
            <w:tcW w:w="950" w:type="pct"/>
            <w:tcBorders>
              <w:top w:val="double" w:sz="4" w:space="0" w:color="auto"/>
            </w:tcBorders>
            <w:shd w:val="clear" w:color="auto" w:fill="auto"/>
            <w:vAlign w:val="center"/>
          </w:tcPr>
          <w:p w:rsidR="00565239" w:rsidRPr="00DC4C7B" w:rsidRDefault="00565239" w:rsidP="001F188A">
            <w:pPr>
              <w:jc w:val="center"/>
              <w:rPr>
                <w:rFonts w:ascii="Arial" w:hAnsi="Arial" w:cs="Arial"/>
                <w:b/>
                <w:sz w:val="22"/>
                <w:szCs w:val="18"/>
              </w:rPr>
            </w:pPr>
          </w:p>
        </w:tc>
        <w:tc>
          <w:tcPr>
            <w:tcW w:w="865" w:type="pct"/>
            <w:tcBorders>
              <w:top w:val="double" w:sz="4" w:space="0" w:color="auto"/>
            </w:tcBorders>
            <w:shd w:val="clear" w:color="auto" w:fill="auto"/>
            <w:vAlign w:val="center"/>
          </w:tcPr>
          <w:p w:rsidR="00565239" w:rsidRPr="00DC4C7B" w:rsidRDefault="00565239" w:rsidP="001F188A">
            <w:pPr>
              <w:jc w:val="center"/>
              <w:rPr>
                <w:rFonts w:ascii="Arial" w:hAnsi="Arial" w:cs="Arial"/>
                <w:b/>
                <w:sz w:val="22"/>
                <w:szCs w:val="18"/>
              </w:rPr>
            </w:pPr>
          </w:p>
        </w:tc>
      </w:tr>
    </w:tbl>
    <w:p w:rsidR="001F188A" w:rsidRDefault="001F188A" w:rsidP="001F188A">
      <w:pPr>
        <w:tabs>
          <w:tab w:val="left" w:pos="-720"/>
          <w:tab w:val="left" w:pos="0"/>
          <w:tab w:val="left" w:pos="900"/>
        </w:tabs>
        <w:suppressAutoHyphens/>
        <w:spacing w:after="0" w:line="240" w:lineRule="atLeast"/>
        <w:ind w:left="709"/>
        <w:jc w:val="both"/>
        <w:rPr>
          <w:rFonts w:ascii="Arial" w:hAnsi="Arial" w:cs="Arial"/>
          <w:lang w:val="es-NI"/>
        </w:rPr>
      </w:pPr>
    </w:p>
    <w:p w:rsidR="00565239" w:rsidRPr="001F188A" w:rsidRDefault="00565239" w:rsidP="002F23BB">
      <w:pPr>
        <w:numPr>
          <w:ilvl w:val="0"/>
          <w:numId w:val="44"/>
        </w:numPr>
        <w:tabs>
          <w:tab w:val="clear" w:pos="1440"/>
          <w:tab w:val="left" w:pos="-720"/>
          <w:tab w:val="left" w:pos="0"/>
          <w:tab w:val="left" w:pos="900"/>
          <w:tab w:val="num" w:pos="993"/>
        </w:tabs>
        <w:suppressAutoHyphens/>
        <w:spacing w:after="0" w:line="240" w:lineRule="atLeast"/>
        <w:ind w:left="993" w:hanging="284"/>
        <w:jc w:val="both"/>
        <w:rPr>
          <w:rFonts w:ascii="Arial" w:hAnsi="Arial" w:cs="Arial"/>
          <w:lang w:val="es-NI"/>
        </w:rPr>
      </w:pPr>
      <w:r w:rsidRPr="00705EDA">
        <w:rPr>
          <w:rFonts w:ascii="Arial" w:eastAsia="Times New Roman" w:hAnsi="Arial" w:cs="Arial"/>
          <w:lang w:val="es-NI" w:eastAsia="es-ES"/>
        </w:rPr>
        <w:lastRenderedPageBreak/>
        <w:t xml:space="preserve">Revelar la provisión, si corresponde, para cada partida de </w:t>
      </w:r>
      <w:r w:rsidR="00547422">
        <w:rPr>
          <w:rFonts w:ascii="Arial" w:eastAsia="Times New Roman" w:hAnsi="Arial" w:cs="Arial"/>
          <w:lang w:val="es-NI" w:eastAsia="es-ES"/>
        </w:rPr>
        <w:t xml:space="preserve">Otras </w:t>
      </w:r>
      <w:r w:rsidRPr="00705EDA">
        <w:rPr>
          <w:rFonts w:ascii="Arial" w:eastAsia="Times New Roman" w:hAnsi="Arial" w:cs="Arial"/>
          <w:lang w:val="es-NI" w:eastAsia="es-ES"/>
        </w:rPr>
        <w:t>Cuentas por Cobrar de acuerdo al siguiente cuadro:</w:t>
      </w:r>
    </w:p>
    <w:p w:rsidR="001F188A" w:rsidRDefault="001F188A" w:rsidP="001F188A">
      <w:pPr>
        <w:tabs>
          <w:tab w:val="left" w:pos="-720"/>
          <w:tab w:val="left" w:pos="0"/>
          <w:tab w:val="left" w:pos="900"/>
        </w:tabs>
        <w:suppressAutoHyphens/>
        <w:spacing w:after="0" w:line="240" w:lineRule="atLeast"/>
        <w:ind w:left="709"/>
        <w:jc w:val="both"/>
        <w:rPr>
          <w:rFonts w:ascii="Arial" w:hAnsi="Arial" w:cs="Arial"/>
          <w:lang w:val="es-NI"/>
        </w:rPr>
      </w:pPr>
    </w:p>
    <w:tbl>
      <w:tblPr>
        <w:tblStyle w:val="Tablaconcuadrcula"/>
        <w:tblW w:w="4939" w:type="pct"/>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96"/>
        <w:gridCol w:w="1663"/>
        <w:gridCol w:w="1513"/>
      </w:tblGrid>
      <w:tr w:rsidR="00565239" w:rsidRPr="00DC4C7B" w:rsidTr="00A32086">
        <w:trPr>
          <w:trHeight w:val="431"/>
        </w:trPr>
        <w:tc>
          <w:tcPr>
            <w:tcW w:w="3306" w:type="pct"/>
            <w:shd w:val="clear" w:color="auto" w:fill="auto"/>
            <w:vAlign w:val="center"/>
          </w:tcPr>
          <w:p w:rsidR="00565239" w:rsidRPr="00DC4C7B" w:rsidRDefault="00565239" w:rsidP="001F188A">
            <w:pPr>
              <w:jc w:val="center"/>
              <w:rPr>
                <w:rFonts w:ascii="Arial" w:hAnsi="Arial" w:cs="Arial"/>
                <w:b/>
                <w:sz w:val="22"/>
                <w:szCs w:val="22"/>
              </w:rPr>
            </w:pPr>
            <w:r w:rsidRPr="007A3579">
              <w:rPr>
                <w:rFonts w:ascii="Arial" w:hAnsi="Arial" w:cs="Arial"/>
                <w:b/>
                <w:sz w:val="22"/>
                <w:szCs w:val="22"/>
              </w:rPr>
              <w:t xml:space="preserve">Movimiento de Provisión </w:t>
            </w:r>
            <w:r>
              <w:rPr>
                <w:rFonts w:ascii="Arial" w:hAnsi="Arial" w:cs="Arial"/>
                <w:b/>
                <w:sz w:val="22"/>
                <w:szCs w:val="22"/>
              </w:rPr>
              <w:t>para Otras Cuentas por Cobrar</w:t>
            </w:r>
          </w:p>
        </w:tc>
        <w:tc>
          <w:tcPr>
            <w:tcW w:w="887" w:type="pct"/>
            <w:shd w:val="clear" w:color="auto" w:fill="auto"/>
            <w:vAlign w:val="center"/>
          </w:tcPr>
          <w:p w:rsidR="00565239" w:rsidRPr="00DC4C7B" w:rsidRDefault="00565239" w:rsidP="001F188A">
            <w:pPr>
              <w:jc w:val="center"/>
              <w:rPr>
                <w:rFonts w:ascii="Arial" w:hAnsi="Arial" w:cs="Arial"/>
                <w:b/>
                <w:sz w:val="22"/>
                <w:szCs w:val="22"/>
              </w:rPr>
            </w:pPr>
            <w:r w:rsidRPr="00DC4C7B">
              <w:rPr>
                <w:rFonts w:ascii="Arial" w:hAnsi="Arial" w:cs="Arial"/>
                <w:b/>
                <w:sz w:val="22"/>
                <w:szCs w:val="22"/>
              </w:rPr>
              <w:t>AÑO  X</w:t>
            </w:r>
          </w:p>
        </w:tc>
        <w:tc>
          <w:tcPr>
            <w:tcW w:w="807" w:type="pct"/>
            <w:shd w:val="clear" w:color="auto" w:fill="auto"/>
            <w:vAlign w:val="center"/>
          </w:tcPr>
          <w:p w:rsidR="00565239" w:rsidRPr="00DC4C7B" w:rsidRDefault="00565239" w:rsidP="001F188A">
            <w:pPr>
              <w:jc w:val="center"/>
              <w:rPr>
                <w:rFonts w:ascii="Arial" w:hAnsi="Arial" w:cs="Arial"/>
                <w:b/>
                <w:sz w:val="22"/>
                <w:szCs w:val="22"/>
              </w:rPr>
            </w:pPr>
            <w:r w:rsidRPr="00DC4C7B">
              <w:rPr>
                <w:rFonts w:ascii="Arial" w:hAnsi="Arial" w:cs="Arial"/>
                <w:b/>
                <w:sz w:val="22"/>
                <w:szCs w:val="22"/>
              </w:rPr>
              <w:t>AÑO  X-1</w:t>
            </w:r>
          </w:p>
        </w:tc>
      </w:tr>
      <w:tr w:rsidR="00565239" w:rsidRPr="0054656E" w:rsidTr="00A32086">
        <w:trPr>
          <w:trHeight w:val="252"/>
        </w:trPr>
        <w:tc>
          <w:tcPr>
            <w:tcW w:w="3306" w:type="pct"/>
            <w:shd w:val="clear" w:color="auto" w:fill="auto"/>
            <w:vAlign w:val="center"/>
          </w:tcPr>
          <w:p w:rsidR="00565239" w:rsidRPr="00DC4C7B" w:rsidRDefault="00565239" w:rsidP="001F188A">
            <w:pPr>
              <w:rPr>
                <w:rFonts w:ascii="Arial" w:hAnsi="Arial" w:cs="Arial"/>
                <w:b/>
                <w:sz w:val="22"/>
                <w:szCs w:val="22"/>
              </w:rPr>
            </w:pPr>
            <w:r w:rsidRPr="007A3579">
              <w:rPr>
                <w:rFonts w:ascii="Arial" w:hAnsi="Arial" w:cs="Arial"/>
                <w:b/>
                <w:sz w:val="22"/>
                <w:szCs w:val="22"/>
              </w:rPr>
              <w:t>Saldo de provisión al inicio del año</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41"/>
        </w:trPr>
        <w:tc>
          <w:tcPr>
            <w:tcW w:w="3306" w:type="pct"/>
            <w:shd w:val="clear" w:color="auto" w:fill="auto"/>
            <w:vAlign w:val="center"/>
          </w:tcPr>
          <w:p w:rsidR="00565239" w:rsidRPr="00DC4C7B" w:rsidRDefault="00565239" w:rsidP="001F188A">
            <w:pPr>
              <w:rPr>
                <w:rFonts w:ascii="Arial" w:hAnsi="Arial" w:cs="Arial"/>
                <w:b/>
                <w:sz w:val="22"/>
                <w:szCs w:val="22"/>
              </w:rPr>
            </w:pPr>
            <w:r w:rsidRPr="00DC4C7B">
              <w:rPr>
                <w:rFonts w:ascii="Arial" w:hAnsi="Arial" w:cs="Arial"/>
                <w:b/>
                <w:sz w:val="22"/>
                <w:szCs w:val="22"/>
              </w:rPr>
              <w:t>Más</w:t>
            </w:r>
            <w:r>
              <w:rPr>
                <w:rFonts w:ascii="Arial" w:hAnsi="Arial" w:cs="Arial"/>
                <w:b/>
                <w:sz w:val="22"/>
                <w:szCs w:val="22"/>
              </w:rPr>
              <w:t>:</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41"/>
        </w:trPr>
        <w:tc>
          <w:tcPr>
            <w:tcW w:w="3306" w:type="pct"/>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Provisión cargada a Resultados</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55"/>
        </w:trPr>
        <w:tc>
          <w:tcPr>
            <w:tcW w:w="3306" w:type="pct"/>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Otros</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41"/>
        </w:trPr>
        <w:tc>
          <w:tcPr>
            <w:tcW w:w="3306" w:type="pct"/>
            <w:shd w:val="clear" w:color="auto" w:fill="auto"/>
            <w:vAlign w:val="center"/>
          </w:tcPr>
          <w:p w:rsidR="00565239" w:rsidRPr="00DC4C7B" w:rsidRDefault="00565239" w:rsidP="001F188A">
            <w:pPr>
              <w:rPr>
                <w:rFonts w:ascii="Arial" w:hAnsi="Arial" w:cs="Arial"/>
                <w:b/>
                <w:sz w:val="22"/>
                <w:szCs w:val="22"/>
              </w:rPr>
            </w:pPr>
            <w:r w:rsidRPr="00DC4C7B">
              <w:rPr>
                <w:rFonts w:ascii="Arial" w:hAnsi="Arial" w:cs="Arial"/>
                <w:b/>
                <w:sz w:val="22"/>
                <w:szCs w:val="22"/>
              </w:rPr>
              <w:t>Menos</w:t>
            </w:r>
            <w:r>
              <w:rPr>
                <w:rFonts w:ascii="Arial" w:hAnsi="Arial" w:cs="Arial"/>
                <w:b/>
                <w:sz w:val="22"/>
                <w:szCs w:val="22"/>
              </w:rPr>
              <w:t>:</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41"/>
        </w:trPr>
        <w:tc>
          <w:tcPr>
            <w:tcW w:w="3306" w:type="pct"/>
            <w:tcBorders>
              <w:bottom w:val="single" w:sz="4" w:space="0" w:color="auto"/>
            </w:tcBorders>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Saneamiento</w:t>
            </w:r>
          </w:p>
        </w:tc>
        <w:tc>
          <w:tcPr>
            <w:tcW w:w="887" w:type="pct"/>
            <w:tcBorders>
              <w:bottom w:val="single" w:sz="4" w:space="0" w:color="auto"/>
            </w:tcBorders>
            <w:shd w:val="clear" w:color="auto" w:fill="auto"/>
            <w:vAlign w:val="center"/>
          </w:tcPr>
          <w:p w:rsidR="00565239" w:rsidRPr="00DC4C7B" w:rsidRDefault="00565239" w:rsidP="001F188A">
            <w:pPr>
              <w:rPr>
                <w:rFonts w:ascii="Arial" w:hAnsi="Arial" w:cs="Arial"/>
                <w:sz w:val="22"/>
                <w:szCs w:val="22"/>
              </w:rPr>
            </w:pPr>
          </w:p>
        </w:tc>
        <w:tc>
          <w:tcPr>
            <w:tcW w:w="807" w:type="pct"/>
            <w:tcBorders>
              <w:bottom w:val="single" w:sz="4" w:space="0" w:color="auto"/>
            </w:tcBorders>
            <w:shd w:val="clear" w:color="auto" w:fill="auto"/>
            <w:vAlign w:val="center"/>
          </w:tcPr>
          <w:p w:rsidR="00565239" w:rsidRPr="00DC4C7B" w:rsidRDefault="00565239" w:rsidP="001F188A">
            <w:pPr>
              <w:rPr>
                <w:rFonts w:ascii="Arial" w:hAnsi="Arial" w:cs="Arial"/>
                <w:sz w:val="22"/>
                <w:szCs w:val="22"/>
              </w:rPr>
            </w:pPr>
          </w:p>
        </w:tc>
      </w:tr>
      <w:tr w:rsidR="00565239" w:rsidRPr="00DC4C7B" w:rsidTr="00A32086">
        <w:trPr>
          <w:trHeight w:val="482"/>
        </w:trPr>
        <w:tc>
          <w:tcPr>
            <w:tcW w:w="3306" w:type="pct"/>
            <w:tcBorders>
              <w:top w:val="single" w:sz="4" w:space="0" w:color="auto"/>
              <w:bottom w:val="double" w:sz="4" w:space="0" w:color="auto"/>
            </w:tcBorders>
            <w:shd w:val="clear" w:color="auto" w:fill="auto"/>
            <w:vAlign w:val="center"/>
          </w:tcPr>
          <w:p w:rsidR="00565239" w:rsidRPr="00DC4C7B" w:rsidRDefault="00565239" w:rsidP="001F188A">
            <w:pPr>
              <w:ind w:left="708"/>
              <w:rPr>
                <w:rFonts w:ascii="Arial" w:hAnsi="Arial" w:cs="Arial"/>
                <w:sz w:val="22"/>
                <w:szCs w:val="22"/>
              </w:rPr>
            </w:pPr>
            <w:r>
              <w:rPr>
                <w:rFonts w:ascii="Arial" w:hAnsi="Arial" w:cs="Arial"/>
                <w:sz w:val="22"/>
                <w:szCs w:val="22"/>
              </w:rPr>
              <w:t xml:space="preserve">Disminución </w:t>
            </w:r>
            <w:r w:rsidRPr="00DC4C7B">
              <w:rPr>
                <w:rFonts w:ascii="Arial" w:hAnsi="Arial" w:cs="Arial"/>
                <w:sz w:val="22"/>
                <w:szCs w:val="22"/>
              </w:rPr>
              <w:t>de Provisiones</w:t>
            </w:r>
          </w:p>
        </w:tc>
        <w:tc>
          <w:tcPr>
            <w:tcW w:w="887" w:type="pct"/>
            <w:tcBorders>
              <w:top w:val="single" w:sz="4" w:space="0" w:color="auto"/>
              <w:bottom w:val="double" w:sz="4" w:space="0" w:color="auto"/>
            </w:tcBorders>
            <w:shd w:val="clear" w:color="auto" w:fill="auto"/>
            <w:vAlign w:val="center"/>
          </w:tcPr>
          <w:p w:rsidR="00565239" w:rsidRPr="00DC4C7B" w:rsidRDefault="00565239" w:rsidP="001F188A">
            <w:pPr>
              <w:rPr>
                <w:rFonts w:ascii="Arial" w:hAnsi="Arial" w:cs="Arial"/>
                <w:sz w:val="22"/>
                <w:szCs w:val="22"/>
              </w:rPr>
            </w:pPr>
          </w:p>
        </w:tc>
        <w:tc>
          <w:tcPr>
            <w:tcW w:w="807" w:type="pct"/>
            <w:tcBorders>
              <w:top w:val="single" w:sz="4" w:space="0" w:color="auto"/>
              <w:bottom w:val="double" w:sz="4" w:space="0" w:color="auto"/>
            </w:tcBorders>
            <w:shd w:val="clear" w:color="auto" w:fill="auto"/>
            <w:vAlign w:val="center"/>
          </w:tcPr>
          <w:p w:rsidR="00565239" w:rsidRPr="00DC4C7B" w:rsidRDefault="00565239" w:rsidP="001F188A">
            <w:pPr>
              <w:rPr>
                <w:rFonts w:ascii="Arial" w:hAnsi="Arial" w:cs="Arial"/>
                <w:sz w:val="22"/>
                <w:szCs w:val="22"/>
              </w:rPr>
            </w:pPr>
          </w:p>
        </w:tc>
      </w:tr>
      <w:tr w:rsidR="00565239" w:rsidRPr="0054656E" w:rsidTr="00A32086">
        <w:trPr>
          <w:trHeight w:val="221"/>
        </w:trPr>
        <w:tc>
          <w:tcPr>
            <w:tcW w:w="3306"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r w:rsidRPr="007A3579">
              <w:rPr>
                <w:rFonts w:ascii="Arial" w:hAnsi="Arial" w:cs="Arial"/>
                <w:b/>
                <w:sz w:val="22"/>
                <w:szCs w:val="22"/>
              </w:rPr>
              <w:t>Saldo de provisión al final del año</w:t>
            </w:r>
          </w:p>
        </w:tc>
        <w:tc>
          <w:tcPr>
            <w:tcW w:w="887"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p>
        </w:tc>
        <w:tc>
          <w:tcPr>
            <w:tcW w:w="807"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p>
        </w:tc>
      </w:tr>
    </w:tbl>
    <w:p w:rsidR="00A01541" w:rsidRDefault="00A01541" w:rsidP="00A01541">
      <w:pPr>
        <w:pStyle w:val="Numerales"/>
        <w:numPr>
          <w:ilvl w:val="0"/>
          <w:numId w:val="0"/>
        </w:numPr>
        <w:ind w:left="567"/>
      </w:pPr>
      <w:bookmarkStart w:id="15" w:name="_Toc494460995"/>
    </w:p>
    <w:p w:rsidR="00A91E8B" w:rsidRDefault="00A91E8B" w:rsidP="00A01541">
      <w:pPr>
        <w:pStyle w:val="Numerales"/>
        <w:numPr>
          <w:ilvl w:val="0"/>
          <w:numId w:val="0"/>
        </w:numPr>
        <w:ind w:left="567"/>
      </w:pPr>
    </w:p>
    <w:p w:rsidR="00565239" w:rsidRDefault="00565239" w:rsidP="002F23BB">
      <w:pPr>
        <w:pStyle w:val="Numerales"/>
        <w:tabs>
          <w:tab w:val="clear" w:pos="540"/>
          <w:tab w:val="num" w:pos="567"/>
        </w:tabs>
        <w:ind w:left="567" w:hanging="283"/>
      </w:pPr>
      <w:bookmarkStart w:id="16" w:name="_Toc516736963"/>
      <w:r>
        <w:t>BIENES RECIBIDOS EN RECUPERACIÓN DE CRÉDITOS</w:t>
      </w:r>
      <w:bookmarkEnd w:id="15"/>
      <w:bookmarkEnd w:id="16"/>
    </w:p>
    <w:p w:rsidR="00565239" w:rsidRPr="00C966A2" w:rsidRDefault="00565239" w:rsidP="00565239">
      <w:pPr>
        <w:pStyle w:val="Arely2"/>
        <w:numPr>
          <w:ilvl w:val="0"/>
          <w:numId w:val="0"/>
        </w:numPr>
        <w:ind w:left="576"/>
      </w:pPr>
    </w:p>
    <w:p w:rsidR="00565239" w:rsidRDefault="00565239" w:rsidP="002F23BB">
      <w:pPr>
        <w:numPr>
          <w:ilvl w:val="0"/>
          <w:numId w:val="45"/>
        </w:numPr>
        <w:tabs>
          <w:tab w:val="clear" w:pos="1440"/>
          <w:tab w:val="left" w:pos="-720"/>
          <w:tab w:val="left" w:pos="0"/>
          <w:tab w:val="num" w:pos="851"/>
          <w:tab w:val="left" w:pos="900"/>
        </w:tabs>
        <w:suppressAutoHyphens/>
        <w:spacing w:after="0" w:line="240" w:lineRule="atLeast"/>
        <w:ind w:left="993" w:hanging="284"/>
        <w:jc w:val="both"/>
        <w:rPr>
          <w:rFonts w:ascii="Arial" w:hAnsi="Arial" w:cs="Arial"/>
          <w:lang w:val="es-NI"/>
        </w:rPr>
      </w:pPr>
      <w:r w:rsidRPr="00402A58">
        <w:rPr>
          <w:rFonts w:ascii="Arial" w:hAnsi="Arial" w:cs="Arial"/>
          <w:lang w:val="es-NI"/>
        </w:rPr>
        <w:t xml:space="preserve">Revelar la composición del saldo </w:t>
      </w:r>
      <w:r>
        <w:rPr>
          <w:rFonts w:ascii="Arial" w:hAnsi="Arial" w:cs="Arial"/>
          <w:lang w:val="es-NI"/>
        </w:rPr>
        <w:t>de Bienes recibidos en Recuperación de Créditos</w:t>
      </w:r>
      <w:r w:rsidRPr="00402A58">
        <w:rPr>
          <w:rFonts w:ascii="Arial" w:hAnsi="Arial" w:cs="Arial"/>
          <w:lang w:val="es-NI"/>
        </w:rPr>
        <w:t xml:space="preserve"> y la información que considere pertinente y necesaria para la comprensión de los Estados Financieros por parte de los usuarios. </w:t>
      </w:r>
    </w:p>
    <w:p w:rsidR="00547422" w:rsidRDefault="00547422" w:rsidP="00547422">
      <w:pPr>
        <w:tabs>
          <w:tab w:val="left" w:pos="-720"/>
          <w:tab w:val="left" w:pos="0"/>
          <w:tab w:val="left" w:pos="900"/>
        </w:tabs>
        <w:suppressAutoHyphens/>
        <w:spacing w:after="0" w:line="240" w:lineRule="atLeast"/>
        <w:ind w:left="993"/>
        <w:jc w:val="both"/>
        <w:rPr>
          <w:rFonts w:ascii="Arial" w:hAnsi="Arial" w:cs="Arial"/>
          <w:lang w:val="es-NI"/>
        </w:rPr>
      </w:pPr>
    </w:p>
    <w:p w:rsidR="002F23BB" w:rsidRDefault="002F23BB" w:rsidP="002F23BB">
      <w:pPr>
        <w:tabs>
          <w:tab w:val="left" w:pos="-720"/>
          <w:tab w:val="left" w:pos="0"/>
          <w:tab w:val="left" w:pos="900"/>
        </w:tabs>
        <w:suppressAutoHyphens/>
        <w:spacing w:after="0" w:line="240" w:lineRule="atLeast"/>
        <w:ind w:left="993"/>
        <w:jc w:val="both"/>
        <w:rPr>
          <w:rFonts w:ascii="Arial" w:hAnsi="Arial" w:cs="Arial"/>
          <w:lang w:val="es-NI"/>
        </w:rPr>
      </w:pPr>
    </w:p>
    <w:tbl>
      <w:tblPr>
        <w:tblStyle w:val="Tablaconcuadrcula"/>
        <w:tblW w:w="4694"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52"/>
        <w:gridCol w:w="1628"/>
        <w:gridCol w:w="1427"/>
      </w:tblGrid>
      <w:tr w:rsidR="00565239" w:rsidRPr="00660569" w:rsidTr="001F188A">
        <w:trPr>
          <w:trHeight w:val="452"/>
          <w:jc w:val="center"/>
        </w:trPr>
        <w:tc>
          <w:tcPr>
            <w:tcW w:w="3285" w:type="pct"/>
            <w:tcBorders>
              <w:top w:val="single" w:sz="12" w:space="0" w:color="auto"/>
              <w:bottom w:val="single" w:sz="12" w:space="0" w:color="auto"/>
            </w:tcBorders>
            <w:shd w:val="clear" w:color="auto" w:fill="auto"/>
            <w:vAlign w:val="center"/>
          </w:tcPr>
          <w:p w:rsidR="00565239" w:rsidRPr="00465298" w:rsidRDefault="00565239" w:rsidP="001F188A">
            <w:pPr>
              <w:jc w:val="center"/>
              <w:rPr>
                <w:rFonts w:ascii="Arial" w:hAnsi="Arial" w:cs="Arial"/>
                <w:b/>
                <w:sz w:val="22"/>
                <w:szCs w:val="22"/>
              </w:rPr>
            </w:pPr>
            <w:r w:rsidRPr="00465298">
              <w:rPr>
                <w:rFonts w:ascii="Arial" w:hAnsi="Arial" w:cs="Arial"/>
                <w:b/>
                <w:sz w:val="22"/>
                <w:szCs w:val="22"/>
              </w:rPr>
              <w:t>Nombre de la Cuenta</w:t>
            </w:r>
          </w:p>
        </w:tc>
        <w:tc>
          <w:tcPr>
            <w:tcW w:w="914" w:type="pct"/>
            <w:tcBorders>
              <w:top w:val="single" w:sz="12" w:space="0" w:color="auto"/>
              <w:bottom w:val="single" w:sz="12" w:space="0" w:color="auto"/>
            </w:tcBorders>
            <w:shd w:val="clear" w:color="auto" w:fill="auto"/>
            <w:vAlign w:val="center"/>
          </w:tcPr>
          <w:p w:rsidR="00565239" w:rsidRPr="00465298" w:rsidRDefault="00565239" w:rsidP="001F188A">
            <w:pPr>
              <w:jc w:val="center"/>
              <w:rPr>
                <w:rFonts w:ascii="Arial" w:hAnsi="Arial" w:cs="Arial"/>
                <w:b/>
                <w:sz w:val="22"/>
                <w:szCs w:val="22"/>
              </w:rPr>
            </w:pPr>
            <w:r w:rsidRPr="00465298">
              <w:rPr>
                <w:rFonts w:ascii="Arial" w:hAnsi="Arial" w:cs="Arial"/>
                <w:b/>
                <w:sz w:val="22"/>
                <w:szCs w:val="22"/>
              </w:rPr>
              <w:t>AÑO  X</w:t>
            </w:r>
          </w:p>
        </w:tc>
        <w:tc>
          <w:tcPr>
            <w:tcW w:w="801" w:type="pct"/>
            <w:tcBorders>
              <w:top w:val="single" w:sz="12" w:space="0" w:color="auto"/>
              <w:bottom w:val="single" w:sz="12" w:space="0" w:color="auto"/>
            </w:tcBorders>
            <w:shd w:val="clear" w:color="auto" w:fill="auto"/>
            <w:vAlign w:val="center"/>
          </w:tcPr>
          <w:p w:rsidR="00565239" w:rsidRPr="00465298" w:rsidRDefault="00565239" w:rsidP="001F188A">
            <w:pPr>
              <w:jc w:val="center"/>
              <w:rPr>
                <w:rFonts w:ascii="Arial" w:hAnsi="Arial" w:cs="Arial"/>
                <w:b/>
                <w:sz w:val="22"/>
                <w:szCs w:val="22"/>
              </w:rPr>
            </w:pPr>
            <w:r w:rsidRPr="00465298">
              <w:rPr>
                <w:rFonts w:ascii="Arial" w:hAnsi="Arial" w:cs="Arial"/>
                <w:b/>
                <w:sz w:val="22"/>
                <w:szCs w:val="22"/>
              </w:rPr>
              <w:t>AÑO  X-1</w:t>
            </w:r>
          </w:p>
        </w:tc>
      </w:tr>
      <w:tr w:rsidR="00565239" w:rsidRPr="00660569" w:rsidTr="001F188A">
        <w:trPr>
          <w:jc w:val="center"/>
        </w:trPr>
        <w:tc>
          <w:tcPr>
            <w:tcW w:w="3285" w:type="pct"/>
            <w:tcBorders>
              <w:top w:val="single" w:sz="12" w:space="0" w:color="auto"/>
            </w:tcBorders>
            <w:shd w:val="clear" w:color="auto" w:fill="auto"/>
          </w:tcPr>
          <w:p w:rsidR="00565239" w:rsidRPr="00F838B2" w:rsidRDefault="00565239" w:rsidP="001F188A">
            <w:pPr>
              <w:rPr>
                <w:rFonts w:ascii="Arial" w:hAnsi="Arial" w:cs="Arial"/>
                <w:sz w:val="22"/>
                <w:szCs w:val="22"/>
              </w:rPr>
            </w:pPr>
            <w:r w:rsidRPr="00F838B2">
              <w:rPr>
                <w:rFonts w:ascii="Arial" w:hAnsi="Arial" w:cs="Arial"/>
                <w:sz w:val="22"/>
                <w:szCs w:val="22"/>
              </w:rPr>
              <w:t>Bienes Muebles</w:t>
            </w:r>
          </w:p>
        </w:tc>
        <w:tc>
          <w:tcPr>
            <w:tcW w:w="914" w:type="pct"/>
            <w:tcBorders>
              <w:top w:val="single" w:sz="12" w:space="0" w:color="auto"/>
            </w:tcBorders>
            <w:shd w:val="clear" w:color="auto" w:fill="auto"/>
            <w:vAlign w:val="center"/>
          </w:tcPr>
          <w:p w:rsidR="00565239" w:rsidRPr="00465298" w:rsidRDefault="00565239" w:rsidP="001F188A">
            <w:pPr>
              <w:jc w:val="center"/>
              <w:rPr>
                <w:rFonts w:ascii="Arial" w:hAnsi="Arial" w:cs="Arial"/>
                <w:sz w:val="22"/>
                <w:szCs w:val="22"/>
              </w:rPr>
            </w:pPr>
          </w:p>
        </w:tc>
        <w:tc>
          <w:tcPr>
            <w:tcW w:w="801" w:type="pct"/>
            <w:tcBorders>
              <w:top w:val="single" w:sz="12" w:space="0" w:color="auto"/>
            </w:tcBorders>
            <w:shd w:val="clear" w:color="auto" w:fill="auto"/>
            <w:vAlign w:val="center"/>
          </w:tcPr>
          <w:p w:rsidR="00565239" w:rsidRPr="00465298" w:rsidRDefault="00565239" w:rsidP="001F188A">
            <w:pPr>
              <w:jc w:val="center"/>
              <w:rPr>
                <w:rFonts w:ascii="Arial" w:hAnsi="Arial" w:cs="Arial"/>
                <w:sz w:val="22"/>
                <w:szCs w:val="22"/>
              </w:rPr>
            </w:pPr>
          </w:p>
        </w:tc>
      </w:tr>
      <w:tr w:rsidR="00565239" w:rsidRPr="00F40E3B" w:rsidTr="001F188A">
        <w:trPr>
          <w:jc w:val="center"/>
        </w:trPr>
        <w:tc>
          <w:tcPr>
            <w:tcW w:w="3285" w:type="pct"/>
            <w:shd w:val="clear" w:color="auto" w:fill="auto"/>
          </w:tcPr>
          <w:p w:rsidR="00565239" w:rsidRPr="00DC4C7B" w:rsidRDefault="00565239" w:rsidP="001F188A">
            <w:pPr>
              <w:rPr>
                <w:rFonts w:ascii="Arial" w:hAnsi="Arial" w:cs="Arial"/>
                <w:sz w:val="22"/>
                <w:szCs w:val="22"/>
              </w:rPr>
            </w:pPr>
            <w:r w:rsidRPr="00F838B2">
              <w:rPr>
                <w:rFonts w:ascii="Arial" w:hAnsi="Arial" w:cs="Arial"/>
                <w:sz w:val="22"/>
                <w:szCs w:val="22"/>
              </w:rPr>
              <w:t>Bienes Inmuebles</w:t>
            </w:r>
          </w:p>
        </w:tc>
        <w:tc>
          <w:tcPr>
            <w:tcW w:w="914" w:type="pct"/>
            <w:shd w:val="clear" w:color="auto" w:fill="auto"/>
            <w:vAlign w:val="center"/>
          </w:tcPr>
          <w:p w:rsidR="00565239" w:rsidRPr="00465298" w:rsidRDefault="00565239" w:rsidP="001F188A">
            <w:pPr>
              <w:jc w:val="center"/>
              <w:rPr>
                <w:rFonts w:ascii="Arial" w:hAnsi="Arial" w:cs="Arial"/>
                <w:sz w:val="22"/>
                <w:szCs w:val="22"/>
              </w:rPr>
            </w:pPr>
          </w:p>
        </w:tc>
        <w:tc>
          <w:tcPr>
            <w:tcW w:w="801" w:type="pct"/>
            <w:shd w:val="clear" w:color="auto" w:fill="auto"/>
            <w:vAlign w:val="center"/>
          </w:tcPr>
          <w:p w:rsidR="00565239" w:rsidRPr="00465298" w:rsidRDefault="00565239" w:rsidP="001F188A">
            <w:pPr>
              <w:jc w:val="center"/>
              <w:rPr>
                <w:rFonts w:ascii="Arial" w:hAnsi="Arial" w:cs="Arial"/>
                <w:sz w:val="22"/>
                <w:szCs w:val="22"/>
              </w:rPr>
            </w:pPr>
          </w:p>
        </w:tc>
      </w:tr>
      <w:tr w:rsidR="00565239" w:rsidRPr="00F40E3B" w:rsidTr="001F188A">
        <w:trPr>
          <w:jc w:val="center"/>
        </w:trPr>
        <w:tc>
          <w:tcPr>
            <w:tcW w:w="3285" w:type="pct"/>
            <w:shd w:val="clear" w:color="auto" w:fill="auto"/>
          </w:tcPr>
          <w:p w:rsidR="00565239" w:rsidRPr="00DC4C7B" w:rsidRDefault="00565239" w:rsidP="001F188A">
            <w:pPr>
              <w:rPr>
                <w:rFonts w:ascii="Arial" w:hAnsi="Arial" w:cs="Arial"/>
                <w:sz w:val="22"/>
                <w:szCs w:val="22"/>
              </w:rPr>
            </w:pPr>
            <w:r w:rsidRPr="00F838B2">
              <w:rPr>
                <w:rFonts w:ascii="Arial" w:hAnsi="Arial" w:cs="Arial"/>
                <w:sz w:val="22"/>
                <w:szCs w:val="22"/>
              </w:rPr>
              <w:t xml:space="preserve">Valores </w:t>
            </w:r>
          </w:p>
        </w:tc>
        <w:tc>
          <w:tcPr>
            <w:tcW w:w="914" w:type="pct"/>
            <w:shd w:val="clear" w:color="auto" w:fill="auto"/>
            <w:vAlign w:val="center"/>
          </w:tcPr>
          <w:p w:rsidR="00565239" w:rsidRPr="00465298" w:rsidRDefault="00565239" w:rsidP="001F188A">
            <w:pPr>
              <w:jc w:val="center"/>
              <w:rPr>
                <w:rFonts w:ascii="Arial" w:hAnsi="Arial" w:cs="Arial"/>
              </w:rPr>
            </w:pPr>
          </w:p>
        </w:tc>
        <w:tc>
          <w:tcPr>
            <w:tcW w:w="801" w:type="pct"/>
            <w:shd w:val="clear" w:color="auto" w:fill="auto"/>
            <w:vAlign w:val="center"/>
          </w:tcPr>
          <w:p w:rsidR="00565239" w:rsidRPr="00465298" w:rsidRDefault="00565239" w:rsidP="001F188A">
            <w:pPr>
              <w:jc w:val="center"/>
              <w:rPr>
                <w:rFonts w:ascii="Arial" w:hAnsi="Arial" w:cs="Arial"/>
              </w:rPr>
            </w:pPr>
          </w:p>
        </w:tc>
      </w:tr>
      <w:tr w:rsidR="00565239" w:rsidRPr="0054656E" w:rsidTr="001F188A">
        <w:trPr>
          <w:jc w:val="center"/>
        </w:trPr>
        <w:tc>
          <w:tcPr>
            <w:tcW w:w="3285" w:type="pct"/>
            <w:tcBorders>
              <w:bottom w:val="single" w:sz="4" w:space="0" w:color="auto"/>
            </w:tcBorders>
            <w:shd w:val="clear" w:color="auto" w:fill="auto"/>
          </w:tcPr>
          <w:p w:rsidR="00565239" w:rsidRPr="00DC4C7B" w:rsidRDefault="00565239" w:rsidP="001F188A">
            <w:pPr>
              <w:rPr>
                <w:rFonts w:ascii="Arial" w:hAnsi="Arial" w:cs="Arial"/>
                <w:sz w:val="22"/>
                <w:szCs w:val="22"/>
              </w:rPr>
            </w:pPr>
            <w:r w:rsidRPr="00F838B2">
              <w:rPr>
                <w:rFonts w:ascii="Arial" w:hAnsi="Arial" w:cs="Arial"/>
                <w:sz w:val="22"/>
                <w:szCs w:val="22"/>
              </w:rPr>
              <w:t>Otros Bienes recibidos en Recuperación de Créditos</w:t>
            </w:r>
          </w:p>
        </w:tc>
        <w:tc>
          <w:tcPr>
            <w:tcW w:w="914" w:type="pct"/>
            <w:tcBorders>
              <w:bottom w:val="single" w:sz="4" w:space="0" w:color="auto"/>
            </w:tcBorders>
            <w:shd w:val="clear" w:color="auto" w:fill="auto"/>
            <w:vAlign w:val="center"/>
          </w:tcPr>
          <w:p w:rsidR="00565239" w:rsidRPr="00465298" w:rsidRDefault="00565239" w:rsidP="001F188A">
            <w:pPr>
              <w:jc w:val="center"/>
              <w:rPr>
                <w:rFonts w:ascii="Arial" w:hAnsi="Arial" w:cs="Arial"/>
                <w:sz w:val="22"/>
                <w:szCs w:val="22"/>
              </w:rPr>
            </w:pPr>
          </w:p>
        </w:tc>
        <w:tc>
          <w:tcPr>
            <w:tcW w:w="801" w:type="pct"/>
            <w:tcBorders>
              <w:bottom w:val="single" w:sz="4" w:space="0" w:color="auto"/>
            </w:tcBorders>
            <w:shd w:val="clear" w:color="auto" w:fill="auto"/>
            <w:vAlign w:val="center"/>
          </w:tcPr>
          <w:p w:rsidR="00565239" w:rsidRPr="00465298" w:rsidRDefault="00565239" w:rsidP="001F188A">
            <w:pPr>
              <w:jc w:val="center"/>
              <w:rPr>
                <w:rFonts w:ascii="Arial" w:hAnsi="Arial" w:cs="Arial"/>
                <w:sz w:val="22"/>
                <w:szCs w:val="22"/>
              </w:rPr>
            </w:pPr>
          </w:p>
        </w:tc>
      </w:tr>
      <w:tr w:rsidR="00565239" w:rsidRPr="0054656E" w:rsidTr="001F188A">
        <w:trPr>
          <w:jc w:val="center"/>
        </w:trPr>
        <w:tc>
          <w:tcPr>
            <w:tcW w:w="3285" w:type="pct"/>
            <w:tcBorders>
              <w:top w:val="single" w:sz="4" w:space="0" w:color="auto"/>
              <w:bottom w:val="double" w:sz="4" w:space="0" w:color="auto"/>
            </w:tcBorders>
            <w:shd w:val="clear" w:color="auto" w:fill="auto"/>
          </w:tcPr>
          <w:p w:rsidR="00565239" w:rsidRPr="00DC4C7B" w:rsidRDefault="00565239" w:rsidP="001F188A">
            <w:pPr>
              <w:jc w:val="both"/>
              <w:rPr>
                <w:rFonts w:ascii="Arial" w:hAnsi="Arial" w:cs="Arial"/>
                <w:sz w:val="22"/>
                <w:szCs w:val="22"/>
              </w:rPr>
            </w:pPr>
            <w:r w:rsidRPr="00DC4C7B">
              <w:rPr>
                <w:rFonts w:ascii="Arial" w:hAnsi="Arial" w:cs="Arial"/>
                <w:sz w:val="22"/>
                <w:szCs w:val="22"/>
              </w:rPr>
              <w:t xml:space="preserve">Provisión para </w:t>
            </w:r>
            <w:r w:rsidRPr="00F838B2">
              <w:rPr>
                <w:rFonts w:ascii="Arial" w:hAnsi="Arial" w:cs="Arial"/>
                <w:sz w:val="22"/>
                <w:szCs w:val="22"/>
              </w:rPr>
              <w:t>Bienes recibidos en Recuperación de Créditos</w:t>
            </w:r>
          </w:p>
        </w:tc>
        <w:tc>
          <w:tcPr>
            <w:tcW w:w="914" w:type="pct"/>
            <w:tcBorders>
              <w:top w:val="single" w:sz="4" w:space="0" w:color="auto"/>
              <w:bottom w:val="double" w:sz="4" w:space="0" w:color="auto"/>
            </w:tcBorders>
            <w:shd w:val="clear" w:color="auto" w:fill="auto"/>
            <w:vAlign w:val="center"/>
          </w:tcPr>
          <w:p w:rsidR="00565239" w:rsidRPr="00465298" w:rsidRDefault="00565239" w:rsidP="001F188A">
            <w:pPr>
              <w:jc w:val="center"/>
              <w:rPr>
                <w:rFonts w:ascii="Arial" w:hAnsi="Arial" w:cs="Arial"/>
                <w:sz w:val="22"/>
                <w:szCs w:val="22"/>
              </w:rPr>
            </w:pPr>
          </w:p>
        </w:tc>
        <w:tc>
          <w:tcPr>
            <w:tcW w:w="801" w:type="pct"/>
            <w:tcBorders>
              <w:top w:val="single" w:sz="4" w:space="0" w:color="auto"/>
              <w:bottom w:val="double" w:sz="4" w:space="0" w:color="auto"/>
            </w:tcBorders>
            <w:shd w:val="clear" w:color="auto" w:fill="auto"/>
            <w:vAlign w:val="center"/>
          </w:tcPr>
          <w:p w:rsidR="00565239" w:rsidRPr="00465298" w:rsidRDefault="00565239" w:rsidP="001F188A">
            <w:pPr>
              <w:jc w:val="center"/>
              <w:rPr>
                <w:rFonts w:ascii="Arial" w:hAnsi="Arial" w:cs="Arial"/>
                <w:sz w:val="22"/>
                <w:szCs w:val="22"/>
              </w:rPr>
            </w:pPr>
          </w:p>
        </w:tc>
      </w:tr>
      <w:tr w:rsidR="00565239" w:rsidRPr="0054656E" w:rsidTr="001F188A">
        <w:trPr>
          <w:trHeight w:val="331"/>
          <w:jc w:val="center"/>
        </w:trPr>
        <w:tc>
          <w:tcPr>
            <w:tcW w:w="3285" w:type="pct"/>
            <w:tcBorders>
              <w:top w:val="double" w:sz="4" w:space="0" w:color="auto"/>
            </w:tcBorders>
            <w:shd w:val="clear" w:color="auto" w:fill="auto"/>
            <w:vAlign w:val="center"/>
          </w:tcPr>
          <w:p w:rsidR="00565239" w:rsidRPr="00465298" w:rsidRDefault="00565239" w:rsidP="001F188A">
            <w:pPr>
              <w:rPr>
                <w:rFonts w:ascii="Arial" w:hAnsi="Arial" w:cs="Arial"/>
                <w:b/>
                <w:sz w:val="22"/>
                <w:szCs w:val="22"/>
              </w:rPr>
            </w:pPr>
            <w:r>
              <w:rPr>
                <w:rFonts w:ascii="Arial" w:hAnsi="Arial" w:cs="Arial"/>
                <w:b/>
                <w:sz w:val="22"/>
                <w:szCs w:val="22"/>
              </w:rPr>
              <w:t xml:space="preserve">Total </w:t>
            </w:r>
            <w:r w:rsidRPr="00F838B2">
              <w:rPr>
                <w:rFonts w:ascii="Arial" w:hAnsi="Arial" w:cs="Arial"/>
                <w:b/>
                <w:sz w:val="22"/>
                <w:szCs w:val="22"/>
              </w:rPr>
              <w:t>Bienes recibidos en Recuperación de Créditos</w:t>
            </w:r>
          </w:p>
        </w:tc>
        <w:tc>
          <w:tcPr>
            <w:tcW w:w="914" w:type="pct"/>
            <w:tcBorders>
              <w:top w:val="double" w:sz="4" w:space="0" w:color="auto"/>
            </w:tcBorders>
            <w:shd w:val="clear" w:color="auto" w:fill="auto"/>
            <w:vAlign w:val="center"/>
          </w:tcPr>
          <w:p w:rsidR="00565239" w:rsidRPr="00465298" w:rsidRDefault="00565239" w:rsidP="001F188A">
            <w:pPr>
              <w:jc w:val="center"/>
              <w:rPr>
                <w:rFonts w:ascii="Arial" w:hAnsi="Arial" w:cs="Arial"/>
                <w:b/>
                <w:sz w:val="22"/>
                <w:szCs w:val="22"/>
              </w:rPr>
            </w:pPr>
          </w:p>
        </w:tc>
        <w:tc>
          <w:tcPr>
            <w:tcW w:w="801" w:type="pct"/>
            <w:tcBorders>
              <w:top w:val="double" w:sz="4" w:space="0" w:color="auto"/>
            </w:tcBorders>
            <w:shd w:val="clear" w:color="auto" w:fill="auto"/>
            <w:vAlign w:val="center"/>
          </w:tcPr>
          <w:p w:rsidR="00565239" w:rsidRPr="00465298" w:rsidRDefault="00565239" w:rsidP="001F188A">
            <w:pPr>
              <w:jc w:val="center"/>
              <w:rPr>
                <w:rFonts w:ascii="Arial" w:hAnsi="Arial" w:cs="Arial"/>
                <w:b/>
                <w:sz w:val="22"/>
                <w:szCs w:val="22"/>
              </w:rPr>
            </w:pPr>
          </w:p>
        </w:tc>
      </w:tr>
    </w:tbl>
    <w:p w:rsidR="001F188A" w:rsidRDefault="001F188A" w:rsidP="001F188A">
      <w:pPr>
        <w:tabs>
          <w:tab w:val="left" w:pos="-720"/>
          <w:tab w:val="left" w:pos="0"/>
          <w:tab w:val="left" w:pos="900"/>
        </w:tabs>
        <w:suppressAutoHyphens/>
        <w:spacing w:after="0" w:line="240" w:lineRule="atLeast"/>
        <w:ind w:left="709"/>
        <w:jc w:val="both"/>
        <w:rPr>
          <w:rFonts w:ascii="Arial" w:hAnsi="Arial" w:cs="Arial"/>
          <w:lang w:val="es-NI"/>
        </w:rPr>
      </w:pPr>
    </w:p>
    <w:p w:rsidR="00991A5E" w:rsidRPr="001F188A" w:rsidRDefault="00991A5E" w:rsidP="001F188A">
      <w:pPr>
        <w:tabs>
          <w:tab w:val="left" w:pos="-720"/>
          <w:tab w:val="left" w:pos="0"/>
          <w:tab w:val="left" w:pos="900"/>
        </w:tabs>
        <w:suppressAutoHyphens/>
        <w:spacing w:after="0" w:line="240" w:lineRule="atLeast"/>
        <w:ind w:left="709"/>
        <w:jc w:val="both"/>
        <w:rPr>
          <w:rFonts w:ascii="Arial" w:hAnsi="Arial" w:cs="Arial"/>
          <w:lang w:val="es-NI"/>
        </w:rPr>
      </w:pPr>
    </w:p>
    <w:p w:rsidR="00565239" w:rsidRPr="001F188A" w:rsidRDefault="00565239" w:rsidP="002F23BB">
      <w:pPr>
        <w:numPr>
          <w:ilvl w:val="0"/>
          <w:numId w:val="45"/>
        </w:numPr>
        <w:tabs>
          <w:tab w:val="clear" w:pos="1440"/>
          <w:tab w:val="left" w:pos="-720"/>
          <w:tab w:val="left" w:pos="0"/>
          <w:tab w:val="left" w:pos="993"/>
        </w:tabs>
        <w:suppressAutoHyphens/>
        <w:spacing w:after="0" w:line="240" w:lineRule="atLeast"/>
        <w:ind w:left="993" w:hanging="284"/>
        <w:jc w:val="both"/>
        <w:rPr>
          <w:rFonts w:ascii="Arial" w:hAnsi="Arial" w:cs="Arial"/>
          <w:lang w:val="es-NI"/>
        </w:rPr>
      </w:pPr>
      <w:r w:rsidRPr="00705EDA">
        <w:rPr>
          <w:rFonts w:ascii="Arial" w:eastAsia="Times New Roman" w:hAnsi="Arial" w:cs="Arial"/>
          <w:lang w:val="es-NI" w:eastAsia="es-ES"/>
        </w:rPr>
        <w:lastRenderedPageBreak/>
        <w:t xml:space="preserve">Revelar la provisión, si corresponde, para cada partida de </w:t>
      </w:r>
      <w:r>
        <w:rPr>
          <w:rFonts w:ascii="Arial" w:hAnsi="Arial" w:cs="Arial"/>
          <w:lang w:val="es-NI"/>
        </w:rPr>
        <w:t>Bienes recibidos en Recuperación de Créditos</w:t>
      </w:r>
      <w:r w:rsidRPr="00402A58">
        <w:rPr>
          <w:rFonts w:ascii="Arial" w:hAnsi="Arial" w:cs="Arial"/>
          <w:lang w:val="es-NI"/>
        </w:rPr>
        <w:t xml:space="preserve"> </w:t>
      </w:r>
      <w:r w:rsidRPr="00705EDA">
        <w:rPr>
          <w:rFonts w:ascii="Arial" w:eastAsia="Times New Roman" w:hAnsi="Arial" w:cs="Arial"/>
          <w:lang w:val="es-NI" w:eastAsia="es-ES"/>
        </w:rPr>
        <w:t>de acuerdo al siguiente cuadro:</w:t>
      </w:r>
    </w:p>
    <w:p w:rsidR="001F188A" w:rsidRDefault="001F188A" w:rsidP="001F188A">
      <w:pPr>
        <w:tabs>
          <w:tab w:val="left" w:pos="-720"/>
          <w:tab w:val="left" w:pos="0"/>
          <w:tab w:val="left" w:pos="900"/>
        </w:tabs>
        <w:suppressAutoHyphens/>
        <w:spacing w:after="0" w:line="240" w:lineRule="atLeast"/>
        <w:ind w:left="709"/>
        <w:jc w:val="both"/>
        <w:rPr>
          <w:rFonts w:ascii="Arial" w:hAnsi="Arial" w:cs="Arial"/>
          <w:lang w:val="es-NI"/>
        </w:rPr>
      </w:pPr>
    </w:p>
    <w:tbl>
      <w:tblPr>
        <w:tblStyle w:val="Tablaconcuadrcula"/>
        <w:tblW w:w="4648" w:type="pct"/>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31"/>
        <w:gridCol w:w="1565"/>
        <w:gridCol w:w="1424"/>
      </w:tblGrid>
      <w:tr w:rsidR="00565239" w:rsidRPr="00DC4C7B" w:rsidTr="00A91E8B">
        <w:trPr>
          <w:trHeight w:val="545"/>
        </w:trPr>
        <w:tc>
          <w:tcPr>
            <w:tcW w:w="3306" w:type="pct"/>
            <w:shd w:val="clear" w:color="auto" w:fill="auto"/>
            <w:vAlign w:val="center"/>
          </w:tcPr>
          <w:p w:rsidR="00565239" w:rsidRPr="00DC4C7B" w:rsidRDefault="00565239" w:rsidP="001F188A">
            <w:pPr>
              <w:jc w:val="both"/>
              <w:rPr>
                <w:rFonts w:ascii="Arial" w:hAnsi="Arial" w:cs="Arial"/>
                <w:b/>
                <w:sz w:val="22"/>
                <w:szCs w:val="22"/>
              </w:rPr>
            </w:pPr>
            <w:r w:rsidRPr="007A3579">
              <w:rPr>
                <w:rFonts w:ascii="Arial" w:hAnsi="Arial" w:cs="Arial"/>
                <w:b/>
                <w:sz w:val="22"/>
                <w:szCs w:val="22"/>
              </w:rPr>
              <w:t xml:space="preserve">Movimiento de Provisión </w:t>
            </w:r>
            <w:r>
              <w:rPr>
                <w:rFonts w:ascii="Arial" w:hAnsi="Arial" w:cs="Arial"/>
                <w:b/>
                <w:sz w:val="22"/>
                <w:szCs w:val="22"/>
              </w:rPr>
              <w:t xml:space="preserve">para </w:t>
            </w:r>
            <w:r w:rsidRPr="00F838B2">
              <w:rPr>
                <w:rFonts w:ascii="Arial" w:hAnsi="Arial" w:cs="Arial"/>
                <w:b/>
                <w:sz w:val="22"/>
                <w:szCs w:val="22"/>
              </w:rPr>
              <w:t>Bienes recibidos en Recuperación de Créditos</w:t>
            </w:r>
          </w:p>
        </w:tc>
        <w:tc>
          <w:tcPr>
            <w:tcW w:w="887" w:type="pct"/>
            <w:shd w:val="clear" w:color="auto" w:fill="auto"/>
            <w:vAlign w:val="center"/>
          </w:tcPr>
          <w:p w:rsidR="00565239" w:rsidRPr="00DC4C7B" w:rsidRDefault="00565239" w:rsidP="001F188A">
            <w:pPr>
              <w:jc w:val="center"/>
              <w:rPr>
                <w:rFonts w:ascii="Arial" w:hAnsi="Arial" w:cs="Arial"/>
                <w:b/>
                <w:sz w:val="22"/>
                <w:szCs w:val="22"/>
              </w:rPr>
            </w:pPr>
            <w:r w:rsidRPr="00DC4C7B">
              <w:rPr>
                <w:rFonts w:ascii="Arial" w:hAnsi="Arial" w:cs="Arial"/>
                <w:b/>
                <w:sz w:val="22"/>
                <w:szCs w:val="22"/>
              </w:rPr>
              <w:t>AÑO  X</w:t>
            </w:r>
          </w:p>
        </w:tc>
        <w:tc>
          <w:tcPr>
            <w:tcW w:w="807" w:type="pct"/>
            <w:shd w:val="clear" w:color="auto" w:fill="auto"/>
            <w:vAlign w:val="center"/>
          </w:tcPr>
          <w:p w:rsidR="00565239" w:rsidRPr="00DC4C7B" w:rsidRDefault="00565239" w:rsidP="001F188A">
            <w:pPr>
              <w:jc w:val="center"/>
              <w:rPr>
                <w:rFonts w:ascii="Arial" w:hAnsi="Arial" w:cs="Arial"/>
                <w:b/>
                <w:sz w:val="22"/>
                <w:szCs w:val="22"/>
              </w:rPr>
            </w:pPr>
            <w:r w:rsidRPr="00DC4C7B">
              <w:rPr>
                <w:rFonts w:ascii="Arial" w:hAnsi="Arial" w:cs="Arial"/>
                <w:b/>
                <w:sz w:val="22"/>
                <w:szCs w:val="22"/>
              </w:rPr>
              <w:t>AÑO  X-1</w:t>
            </w:r>
          </w:p>
        </w:tc>
      </w:tr>
      <w:tr w:rsidR="00565239" w:rsidRPr="0054656E" w:rsidTr="00A91E8B">
        <w:trPr>
          <w:trHeight w:val="244"/>
        </w:trPr>
        <w:tc>
          <w:tcPr>
            <w:tcW w:w="3306" w:type="pct"/>
            <w:shd w:val="clear" w:color="auto" w:fill="auto"/>
            <w:vAlign w:val="center"/>
          </w:tcPr>
          <w:p w:rsidR="00565239" w:rsidRPr="00DC4C7B" w:rsidRDefault="00565239" w:rsidP="001F188A">
            <w:pPr>
              <w:rPr>
                <w:rFonts w:ascii="Arial" w:hAnsi="Arial" w:cs="Arial"/>
                <w:b/>
                <w:sz w:val="22"/>
                <w:szCs w:val="22"/>
              </w:rPr>
            </w:pPr>
            <w:r w:rsidRPr="007A3579">
              <w:rPr>
                <w:rFonts w:ascii="Arial" w:hAnsi="Arial" w:cs="Arial"/>
                <w:b/>
                <w:sz w:val="22"/>
                <w:szCs w:val="22"/>
              </w:rPr>
              <w:t>Saldo de provisión al inicio del año</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426"/>
        </w:trPr>
        <w:tc>
          <w:tcPr>
            <w:tcW w:w="3306" w:type="pct"/>
            <w:shd w:val="clear" w:color="auto" w:fill="auto"/>
            <w:vAlign w:val="center"/>
          </w:tcPr>
          <w:p w:rsidR="00565239" w:rsidRPr="00DC4C7B" w:rsidRDefault="00565239" w:rsidP="001F188A">
            <w:pPr>
              <w:rPr>
                <w:rFonts w:ascii="Arial" w:hAnsi="Arial" w:cs="Arial"/>
                <w:b/>
                <w:sz w:val="22"/>
                <w:szCs w:val="22"/>
              </w:rPr>
            </w:pPr>
            <w:r w:rsidRPr="00DC4C7B">
              <w:rPr>
                <w:rFonts w:ascii="Arial" w:hAnsi="Arial" w:cs="Arial"/>
                <w:b/>
                <w:sz w:val="22"/>
                <w:szCs w:val="22"/>
              </w:rPr>
              <w:t>Más</w:t>
            </w:r>
            <w:r>
              <w:rPr>
                <w:rFonts w:ascii="Arial" w:hAnsi="Arial" w:cs="Arial"/>
                <w:b/>
                <w:sz w:val="22"/>
                <w:szCs w:val="22"/>
              </w:rPr>
              <w:t>:</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426"/>
        </w:trPr>
        <w:tc>
          <w:tcPr>
            <w:tcW w:w="3306" w:type="pct"/>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Provisión cargada a Resultados</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277"/>
        </w:trPr>
        <w:tc>
          <w:tcPr>
            <w:tcW w:w="3306" w:type="pct"/>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Otros</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426"/>
        </w:trPr>
        <w:tc>
          <w:tcPr>
            <w:tcW w:w="3306" w:type="pct"/>
            <w:shd w:val="clear" w:color="auto" w:fill="auto"/>
            <w:vAlign w:val="center"/>
          </w:tcPr>
          <w:p w:rsidR="00565239" w:rsidRPr="00DC4C7B" w:rsidRDefault="00565239" w:rsidP="001F188A">
            <w:pPr>
              <w:rPr>
                <w:rFonts w:ascii="Arial" w:hAnsi="Arial" w:cs="Arial"/>
                <w:b/>
                <w:sz w:val="22"/>
                <w:szCs w:val="22"/>
              </w:rPr>
            </w:pPr>
            <w:r w:rsidRPr="00DC4C7B">
              <w:rPr>
                <w:rFonts w:ascii="Arial" w:hAnsi="Arial" w:cs="Arial"/>
                <w:b/>
                <w:sz w:val="22"/>
                <w:szCs w:val="22"/>
              </w:rPr>
              <w:t>Menos</w:t>
            </w:r>
            <w:r>
              <w:rPr>
                <w:rFonts w:ascii="Arial" w:hAnsi="Arial" w:cs="Arial"/>
                <w:b/>
                <w:sz w:val="22"/>
                <w:szCs w:val="22"/>
              </w:rPr>
              <w:t>:</w:t>
            </w:r>
          </w:p>
        </w:tc>
        <w:tc>
          <w:tcPr>
            <w:tcW w:w="887" w:type="pct"/>
            <w:shd w:val="clear" w:color="auto" w:fill="auto"/>
            <w:vAlign w:val="center"/>
          </w:tcPr>
          <w:p w:rsidR="00565239" w:rsidRPr="00DC4C7B" w:rsidRDefault="00565239" w:rsidP="001F188A">
            <w:pPr>
              <w:rPr>
                <w:rFonts w:ascii="Arial" w:hAnsi="Arial" w:cs="Arial"/>
                <w:sz w:val="22"/>
                <w:szCs w:val="22"/>
              </w:rPr>
            </w:pPr>
          </w:p>
        </w:tc>
        <w:tc>
          <w:tcPr>
            <w:tcW w:w="807" w:type="pct"/>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426"/>
        </w:trPr>
        <w:tc>
          <w:tcPr>
            <w:tcW w:w="3306" w:type="pct"/>
            <w:tcBorders>
              <w:bottom w:val="single" w:sz="4" w:space="0" w:color="auto"/>
            </w:tcBorders>
            <w:shd w:val="clear" w:color="auto" w:fill="auto"/>
            <w:vAlign w:val="center"/>
          </w:tcPr>
          <w:p w:rsidR="00565239" w:rsidRPr="00DC4C7B" w:rsidRDefault="00565239" w:rsidP="001F188A">
            <w:pPr>
              <w:ind w:left="708"/>
              <w:rPr>
                <w:rFonts w:ascii="Arial" w:hAnsi="Arial" w:cs="Arial"/>
                <w:sz w:val="22"/>
                <w:szCs w:val="22"/>
              </w:rPr>
            </w:pPr>
            <w:r w:rsidRPr="00DC4C7B">
              <w:rPr>
                <w:rFonts w:ascii="Arial" w:hAnsi="Arial" w:cs="Arial"/>
                <w:sz w:val="22"/>
                <w:szCs w:val="22"/>
              </w:rPr>
              <w:t>Saneamiento</w:t>
            </w:r>
          </w:p>
        </w:tc>
        <w:tc>
          <w:tcPr>
            <w:tcW w:w="887" w:type="pct"/>
            <w:tcBorders>
              <w:bottom w:val="single" w:sz="4" w:space="0" w:color="auto"/>
            </w:tcBorders>
            <w:shd w:val="clear" w:color="auto" w:fill="auto"/>
            <w:vAlign w:val="center"/>
          </w:tcPr>
          <w:p w:rsidR="00565239" w:rsidRPr="00DC4C7B" w:rsidRDefault="00565239" w:rsidP="001F188A">
            <w:pPr>
              <w:rPr>
                <w:rFonts w:ascii="Arial" w:hAnsi="Arial" w:cs="Arial"/>
                <w:sz w:val="22"/>
                <w:szCs w:val="22"/>
              </w:rPr>
            </w:pPr>
          </w:p>
        </w:tc>
        <w:tc>
          <w:tcPr>
            <w:tcW w:w="807" w:type="pct"/>
            <w:tcBorders>
              <w:bottom w:val="single" w:sz="4" w:space="0" w:color="auto"/>
            </w:tcBorders>
            <w:shd w:val="clear" w:color="auto" w:fill="auto"/>
            <w:vAlign w:val="center"/>
          </w:tcPr>
          <w:p w:rsidR="00565239" w:rsidRPr="00DC4C7B" w:rsidRDefault="00565239" w:rsidP="001F188A">
            <w:pPr>
              <w:rPr>
                <w:rFonts w:ascii="Arial" w:hAnsi="Arial" w:cs="Arial"/>
                <w:sz w:val="22"/>
                <w:szCs w:val="22"/>
              </w:rPr>
            </w:pPr>
          </w:p>
        </w:tc>
      </w:tr>
      <w:tr w:rsidR="00565239" w:rsidRPr="00DC4C7B" w:rsidTr="00A91E8B">
        <w:trPr>
          <w:trHeight w:val="466"/>
        </w:trPr>
        <w:tc>
          <w:tcPr>
            <w:tcW w:w="3306" w:type="pct"/>
            <w:tcBorders>
              <w:top w:val="single" w:sz="4" w:space="0" w:color="auto"/>
              <w:bottom w:val="double" w:sz="4" w:space="0" w:color="auto"/>
            </w:tcBorders>
            <w:shd w:val="clear" w:color="auto" w:fill="auto"/>
            <w:vAlign w:val="center"/>
          </w:tcPr>
          <w:p w:rsidR="00565239" w:rsidRPr="00DC4C7B" w:rsidRDefault="00565239" w:rsidP="001F188A">
            <w:pPr>
              <w:ind w:left="708"/>
              <w:rPr>
                <w:rFonts w:ascii="Arial" w:hAnsi="Arial" w:cs="Arial"/>
                <w:sz w:val="22"/>
                <w:szCs w:val="22"/>
              </w:rPr>
            </w:pPr>
            <w:r>
              <w:rPr>
                <w:rFonts w:ascii="Arial" w:hAnsi="Arial" w:cs="Arial"/>
                <w:sz w:val="22"/>
                <w:szCs w:val="22"/>
              </w:rPr>
              <w:t xml:space="preserve">Disminución </w:t>
            </w:r>
            <w:r w:rsidRPr="00DC4C7B">
              <w:rPr>
                <w:rFonts w:ascii="Arial" w:hAnsi="Arial" w:cs="Arial"/>
                <w:sz w:val="22"/>
                <w:szCs w:val="22"/>
              </w:rPr>
              <w:t>de Provisiones</w:t>
            </w:r>
          </w:p>
        </w:tc>
        <w:tc>
          <w:tcPr>
            <w:tcW w:w="887" w:type="pct"/>
            <w:tcBorders>
              <w:top w:val="single" w:sz="4" w:space="0" w:color="auto"/>
              <w:bottom w:val="double" w:sz="4" w:space="0" w:color="auto"/>
            </w:tcBorders>
            <w:shd w:val="clear" w:color="auto" w:fill="auto"/>
            <w:vAlign w:val="center"/>
          </w:tcPr>
          <w:p w:rsidR="00565239" w:rsidRPr="00DC4C7B" w:rsidRDefault="00565239" w:rsidP="001F188A">
            <w:pPr>
              <w:rPr>
                <w:rFonts w:ascii="Arial" w:hAnsi="Arial" w:cs="Arial"/>
                <w:sz w:val="22"/>
                <w:szCs w:val="22"/>
              </w:rPr>
            </w:pPr>
          </w:p>
        </w:tc>
        <w:tc>
          <w:tcPr>
            <w:tcW w:w="807" w:type="pct"/>
            <w:tcBorders>
              <w:top w:val="single" w:sz="4" w:space="0" w:color="auto"/>
              <w:bottom w:val="double" w:sz="4" w:space="0" w:color="auto"/>
            </w:tcBorders>
            <w:shd w:val="clear" w:color="auto" w:fill="auto"/>
            <w:vAlign w:val="center"/>
          </w:tcPr>
          <w:p w:rsidR="00565239" w:rsidRPr="00DC4C7B" w:rsidRDefault="00565239" w:rsidP="001F188A">
            <w:pPr>
              <w:rPr>
                <w:rFonts w:ascii="Arial" w:hAnsi="Arial" w:cs="Arial"/>
                <w:sz w:val="22"/>
                <w:szCs w:val="22"/>
              </w:rPr>
            </w:pPr>
          </w:p>
        </w:tc>
      </w:tr>
      <w:tr w:rsidR="00565239" w:rsidRPr="0054656E" w:rsidTr="00A91E8B">
        <w:trPr>
          <w:trHeight w:val="214"/>
        </w:trPr>
        <w:tc>
          <w:tcPr>
            <w:tcW w:w="3306"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r w:rsidRPr="007A3579">
              <w:rPr>
                <w:rFonts w:ascii="Arial" w:hAnsi="Arial" w:cs="Arial"/>
                <w:b/>
                <w:sz w:val="22"/>
                <w:szCs w:val="22"/>
              </w:rPr>
              <w:t>Saldo de provisión al final del año</w:t>
            </w:r>
          </w:p>
        </w:tc>
        <w:tc>
          <w:tcPr>
            <w:tcW w:w="887"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p>
        </w:tc>
        <w:tc>
          <w:tcPr>
            <w:tcW w:w="807" w:type="pct"/>
            <w:tcBorders>
              <w:top w:val="double" w:sz="4" w:space="0" w:color="auto"/>
            </w:tcBorders>
            <w:shd w:val="clear" w:color="auto" w:fill="auto"/>
            <w:vAlign w:val="center"/>
          </w:tcPr>
          <w:p w:rsidR="00565239" w:rsidRPr="00DC4C7B" w:rsidRDefault="00565239" w:rsidP="001F188A">
            <w:pPr>
              <w:rPr>
                <w:rFonts w:ascii="Arial" w:hAnsi="Arial" w:cs="Arial"/>
                <w:b/>
                <w:sz w:val="22"/>
                <w:szCs w:val="22"/>
              </w:rPr>
            </w:pPr>
          </w:p>
        </w:tc>
      </w:tr>
    </w:tbl>
    <w:p w:rsidR="00565239" w:rsidRPr="00565239" w:rsidRDefault="00565239" w:rsidP="00A91E8B">
      <w:pPr>
        <w:pStyle w:val="Textoindependiente"/>
        <w:spacing w:after="0" w:line="240" w:lineRule="auto"/>
        <w:jc w:val="both"/>
        <w:rPr>
          <w:rFonts w:ascii="Arial" w:hAnsi="Arial" w:cs="Arial"/>
          <w:b/>
          <w:lang w:val="es-NI"/>
        </w:rPr>
      </w:pPr>
    </w:p>
    <w:sectPr w:rsidR="00565239" w:rsidRPr="00565239" w:rsidSect="00BF049D">
      <w:footerReference w:type="default" r:id="rId14"/>
      <w:pgSz w:w="12240" w:h="15840"/>
      <w:pgMar w:top="2090" w:right="1361" w:bottom="1440" w:left="1361" w:header="720" w:footer="54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A4D" w:rsidRDefault="00EC4A4D" w:rsidP="002853D1">
      <w:pPr>
        <w:spacing w:after="0" w:line="240" w:lineRule="auto"/>
      </w:pPr>
      <w:r>
        <w:separator/>
      </w:r>
    </w:p>
  </w:endnote>
  <w:endnote w:type="continuationSeparator" w:id="0">
    <w:p w:rsidR="00EC4A4D" w:rsidRDefault="00EC4A4D" w:rsidP="00285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1D" w:rsidRDefault="00C5361D">
    <w:pPr>
      <w:ind w:right="260"/>
      <w:rPr>
        <w:color w:val="222A35" w:themeColor="text2" w:themeShade="80"/>
        <w:sz w:val="26"/>
        <w:szCs w:val="26"/>
      </w:rPr>
    </w:pPr>
    <w:r>
      <w:rPr>
        <w:noProof/>
        <w:lang w:val="es-NI" w:eastAsia="es-NI"/>
      </w:rPr>
      <w:drawing>
        <wp:anchor distT="0" distB="0" distL="114300" distR="114300" simplePos="0" relativeHeight="251664384" behindDoc="1" locked="0" layoutInCell="1" allowOverlap="1" wp14:anchorId="49B7F3EF" wp14:editId="311602F9">
          <wp:simplePos x="0" y="0"/>
          <wp:positionH relativeFrom="page">
            <wp:posOffset>109182</wp:posOffset>
          </wp:positionH>
          <wp:positionV relativeFrom="bottomMargin">
            <wp:posOffset>40943</wp:posOffset>
          </wp:positionV>
          <wp:extent cx="7615451" cy="832514"/>
          <wp:effectExtent l="0" t="0" r="5080" b="5715"/>
          <wp:wrapNone/>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5451" cy="832514"/>
                  </a:xfrm>
                  <a:prstGeom prst="rect">
                    <a:avLst/>
                  </a:prstGeom>
                </pic:spPr>
              </pic:pic>
            </a:graphicData>
          </a:graphic>
          <wp14:sizeRelH relativeFrom="margin">
            <wp14:pctWidth>0</wp14:pctWidth>
          </wp14:sizeRelH>
          <wp14:sizeRelV relativeFrom="margin">
            <wp14:pctHeight>0</wp14:pctHeight>
          </wp14:sizeRelV>
        </wp:anchor>
      </w:drawing>
    </w:r>
    <w:r>
      <w:rPr>
        <w:noProof/>
        <w:color w:val="44546A" w:themeColor="text2"/>
        <w:sz w:val="26"/>
        <w:szCs w:val="26"/>
        <w:lang w:val="es-NI" w:eastAsia="es-NI"/>
      </w:rPr>
      <mc:AlternateContent>
        <mc:Choice Requires="wps">
          <w:drawing>
            <wp:anchor distT="0" distB="0" distL="114300" distR="114300" simplePos="0" relativeHeight="251660288" behindDoc="0" locked="0" layoutInCell="1" allowOverlap="1" wp14:anchorId="347CDA8E" wp14:editId="34D95A18">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361D" w:rsidRDefault="00C5361D">
                          <w:pPr>
                            <w:spacing w:after="0"/>
                            <w:jc w:val="center"/>
                            <w:rPr>
                              <w:color w:val="222A35" w:themeColor="text2" w:themeShade="80"/>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47CDA8E" id="_x0000_t202" coordsize="21600,21600" o:spt="202" path="m,l,21600r21600,l21600,xe">
              <v:stroke joinstyle="miter"/>
              <v:path gradientshapeok="t" o:connecttype="rect"/>
            </v:shapetype>
            <v:shape id="Cuadro de texto 49" o:spid="_x0000_s1026" type="#_x0000_t202" style="position:absolute;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C5361D" w:rsidRDefault="00C5361D">
                    <w:pPr>
                      <w:spacing w:after="0"/>
                      <w:jc w:val="center"/>
                      <w:rPr>
                        <w:color w:val="222A35" w:themeColor="text2" w:themeShade="80"/>
                        <w:sz w:val="26"/>
                        <w:szCs w:val="26"/>
                      </w:rPr>
                    </w:pPr>
                  </w:p>
                </w:txbxContent>
              </v:textbox>
              <w10:wrap anchorx="page" anchory="page"/>
            </v:shape>
          </w:pict>
        </mc:Fallback>
      </mc:AlternateContent>
    </w:r>
  </w:p>
  <w:p w:rsidR="00C5361D" w:rsidRDefault="00C5361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1D" w:rsidRDefault="00C5361D">
    <w:pPr>
      <w:ind w:right="260"/>
      <w:rPr>
        <w:color w:val="222A35" w:themeColor="text2" w:themeShade="80"/>
        <w:sz w:val="26"/>
        <w:szCs w:val="26"/>
      </w:rPr>
    </w:pPr>
    <w:r>
      <w:rPr>
        <w:noProof/>
        <w:lang w:val="es-NI" w:eastAsia="es-NI"/>
      </w:rPr>
      <w:drawing>
        <wp:anchor distT="0" distB="0" distL="114300" distR="114300" simplePos="0" relativeHeight="251666432" behindDoc="1" locked="0" layoutInCell="1" allowOverlap="1" wp14:anchorId="284DC658" wp14:editId="4ABEF183">
          <wp:simplePos x="0" y="0"/>
          <wp:positionH relativeFrom="page">
            <wp:posOffset>545910</wp:posOffset>
          </wp:positionH>
          <wp:positionV relativeFrom="bottomMargin">
            <wp:posOffset>81887</wp:posOffset>
          </wp:positionV>
          <wp:extent cx="7049069" cy="723331"/>
          <wp:effectExtent l="0" t="0" r="0" b="635"/>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49069" cy="723331"/>
                  </a:xfrm>
                  <a:prstGeom prst="rect">
                    <a:avLst/>
                  </a:prstGeom>
                </pic:spPr>
              </pic:pic>
            </a:graphicData>
          </a:graphic>
          <wp14:sizeRelH relativeFrom="margin">
            <wp14:pctWidth>0</wp14:pctWidth>
          </wp14:sizeRelH>
          <wp14:sizeRelV relativeFrom="margin">
            <wp14:pctHeight>0</wp14:pctHeight>
          </wp14:sizeRelV>
        </wp:anchor>
      </w:drawing>
    </w:r>
    <w:r>
      <w:rPr>
        <w:noProof/>
        <w:color w:val="44546A" w:themeColor="text2"/>
        <w:sz w:val="26"/>
        <w:szCs w:val="26"/>
        <w:lang w:val="es-NI" w:eastAsia="es-NI"/>
      </w:rPr>
      <mc:AlternateContent>
        <mc:Choice Requires="wps">
          <w:drawing>
            <wp:anchor distT="0" distB="0" distL="114300" distR="114300" simplePos="0" relativeHeight="251662336" behindDoc="0" locked="0" layoutInCell="1" allowOverlap="1" wp14:anchorId="1A441CBD" wp14:editId="420F3296">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2"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361D" w:rsidRDefault="00C5361D">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PAGE  \* Arabic  \* MERGEFORMAT</w:instrText>
                          </w:r>
                          <w:r>
                            <w:rPr>
                              <w:color w:val="222A35" w:themeColor="text2" w:themeShade="80"/>
                              <w:sz w:val="26"/>
                              <w:szCs w:val="26"/>
                            </w:rPr>
                            <w:fldChar w:fldCharType="separate"/>
                          </w:r>
                          <w:r w:rsidR="000831E4" w:rsidRPr="000831E4">
                            <w:rPr>
                              <w:noProof/>
                              <w:color w:val="222A35" w:themeColor="text2" w:themeShade="80"/>
                              <w:sz w:val="26"/>
                              <w:szCs w:val="26"/>
                              <w:lang w:val="es-ES"/>
                            </w:rPr>
                            <w:t>15</w:t>
                          </w:r>
                          <w:r>
                            <w:rPr>
                              <w:color w:val="222A35"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A441CBD" id="_x0000_t202" coordsize="21600,21600" o:spt="202" path="m,l,21600r21600,l21600,xe">
              <v:stroke joinstyle="miter"/>
              <v:path gradientshapeok="t" o:connecttype="rect"/>
            </v:shapetype>
            <v:shape id="_x0000_s1027" type="#_x0000_t202" style="position:absolute;margin-left:0;margin-top:0;width:30.6pt;height:24.65pt;z-index:25166233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S2tyfY8CAACSBQAADgAAAAAAAAAAAAAAAAAuAgAAZHJzL2Uyb0RvYy54bWxQSwECLQAU&#10;AAYACAAAACEAcHEZU9sAAAADAQAADwAAAAAAAAAAAAAAAADpBAAAZHJzL2Rvd25yZXYueG1sUEsF&#10;BgAAAAAEAAQA8wAAAPEFAAAAAA==&#10;" fillcolor="white [3201]" stroked="f" strokeweight=".5pt">
              <v:textbox style="mso-fit-shape-to-text:t" inset="0,,0">
                <w:txbxContent>
                  <w:p w:rsidR="00C5361D" w:rsidRDefault="00C5361D">
                    <w:pPr>
                      <w:spacing w:after="0"/>
                      <w:jc w:val="center"/>
                      <w:rPr>
                        <w:color w:val="222A35" w:themeColor="text2" w:themeShade="80"/>
                        <w:sz w:val="26"/>
                        <w:szCs w:val="26"/>
                      </w:rPr>
                    </w:pPr>
                    <w:r>
                      <w:rPr>
                        <w:color w:val="222A35" w:themeColor="text2" w:themeShade="80"/>
                        <w:sz w:val="26"/>
                        <w:szCs w:val="26"/>
                      </w:rPr>
                      <w:fldChar w:fldCharType="begin"/>
                    </w:r>
                    <w:r>
                      <w:rPr>
                        <w:color w:val="222A35" w:themeColor="text2" w:themeShade="80"/>
                        <w:sz w:val="26"/>
                        <w:szCs w:val="26"/>
                      </w:rPr>
                      <w:instrText>PAGE  \* Arabic  \* MERGEFORMAT</w:instrText>
                    </w:r>
                    <w:r>
                      <w:rPr>
                        <w:color w:val="222A35" w:themeColor="text2" w:themeShade="80"/>
                        <w:sz w:val="26"/>
                        <w:szCs w:val="26"/>
                      </w:rPr>
                      <w:fldChar w:fldCharType="separate"/>
                    </w:r>
                    <w:r w:rsidR="000831E4" w:rsidRPr="000831E4">
                      <w:rPr>
                        <w:noProof/>
                        <w:color w:val="222A35" w:themeColor="text2" w:themeShade="80"/>
                        <w:sz w:val="26"/>
                        <w:szCs w:val="26"/>
                        <w:lang w:val="es-ES"/>
                      </w:rPr>
                      <w:t>15</w:t>
                    </w:r>
                    <w:r>
                      <w:rPr>
                        <w:color w:val="222A35" w:themeColor="text2" w:themeShade="80"/>
                        <w:sz w:val="26"/>
                        <w:szCs w:val="26"/>
                      </w:rPr>
                      <w:fldChar w:fldCharType="end"/>
                    </w:r>
                  </w:p>
                </w:txbxContent>
              </v:textbox>
              <w10:wrap anchorx="page" anchory="page"/>
            </v:shape>
          </w:pict>
        </mc:Fallback>
      </mc:AlternateContent>
    </w:r>
  </w:p>
  <w:p w:rsidR="00C5361D" w:rsidRDefault="00C5361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A4D" w:rsidRDefault="00EC4A4D" w:rsidP="002853D1">
      <w:pPr>
        <w:spacing w:after="0" w:line="240" w:lineRule="auto"/>
      </w:pPr>
      <w:r>
        <w:separator/>
      </w:r>
    </w:p>
  </w:footnote>
  <w:footnote w:type="continuationSeparator" w:id="0">
    <w:p w:rsidR="00EC4A4D" w:rsidRDefault="00EC4A4D" w:rsidP="00285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61D" w:rsidRDefault="00C5361D">
    <w:pPr>
      <w:pStyle w:val="Encabezado"/>
    </w:pPr>
    <w:r>
      <w:rPr>
        <w:noProof/>
        <w:lang w:val="es-NI" w:eastAsia="es-NI"/>
      </w:rPr>
      <w:drawing>
        <wp:anchor distT="0" distB="0" distL="114300" distR="114300" simplePos="0" relativeHeight="251658240" behindDoc="1" locked="0" layoutInCell="1" allowOverlap="1" wp14:anchorId="501ED65E" wp14:editId="4A12AE5D">
          <wp:simplePos x="0" y="0"/>
          <wp:positionH relativeFrom="page">
            <wp:align>left</wp:align>
          </wp:positionH>
          <wp:positionV relativeFrom="paragraph">
            <wp:posOffset>-447675</wp:posOffset>
          </wp:positionV>
          <wp:extent cx="7768588" cy="1434903"/>
          <wp:effectExtent l="0" t="0" r="4445" b="0"/>
          <wp:wrapNone/>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8588" cy="14349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3C0F"/>
    <w:multiLevelType w:val="hybridMultilevel"/>
    <w:tmpl w:val="28E8992E"/>
    <w:lvl w:ilvl="0" w:tplc="4C0A0015">
      <w:start w:val="1"/>
      <w:numFmt w:val="upperLetter"/>
      <w:lvlText w:val="%1."/>
      <w:lvlJc w:val="left"/>
      <w:pPr>
        <w:ind w:left="907" w:hanging="360"/>
      </w:pPr>
    </w:lvl>
    <w:lvl w:ilvl="1" w:tplc="4C0A0019" w:tentative="1">
      <w:start w:val="1"/>
      <w:numFmt w:val="lowerLetter"/>
      <w:lvlText w:val="%2."/>
      <w:lvlJc w:val="left"/>
      <w:pPr>
        <w:ind w:left="1627" w:hanging="360"/>
      </w:pPr>
    </w:lvl>
    <w:lvl w:ilvl="2" w:tplc="4C0A001B" w:tentative="1">
      <w:start w:val="1"/>
      <w:numFmt w:val="lowerRoman"/>
      <w:lvlText w:val="%3."/>
      <w:lvlJc w:val="right"/>
      <w:pPr>
        <w:ind w:left="2347" w:hanging="180"/>
      </w:pPr>
    </w:lvl>
    <w:lvl w:ilvl="3" w:tplc="4C0A000F" w:tentative="1">
      <w:start w:val="1"/>
      <w:numFmt w:val="decimal"/>
      <w:lvlText w:val="%4."/>
      <w:lvlJc w:val="left"/>
      <w:pPr>
        <w:ind w:left="3067" w:hanging="360"/>
      </w:pPr>
    </w:lvl>
    <w:lvl w:ilvl="4" w:tplc="4C0A0019" w:tentative="1">
      <w:start w:val="1"/>
      <w:numFmt w:val="lowerLetter"/>
      <w:lvlText w:val="%5."/>
      <w:lvlJc w:val="left"/>
      <w:pPr>
        <w:ind w:left="3787" w:hanging="360"/>
      </w:pPr>
    </w:lvl>
    <w:lvl w:ilvl="5" w:tplc="4C0A001B" w:tentative="1">
      <w:start w:val="1"/>
      <w:numFmt w:val="lowerRoman"/>
      <w:lvlText w:val="%6."/>
      <w:lvlJc w:val="right"/>
      <w:pPr>
        <w:ind w:left="4507" w:hanging="180"/>
      </w:pPr>
    </w:lvl>
    <w:lvl w:ilvl="6" w:tplc="4C0A000F" w:tentative="1">
      <w:start w:val="1"/>
      <w:numFmt w:val="decimal"/>
      <w:lvlText w:val="%7."/>
      <w:lvlJc w:val="left"/>
      <w:pPr>
        <w:ind w:left="5227" w:hanging="360"/>
      </w:pPr>
    </w:lvl>
    <w:lvl w:ilvl="7" w:tplc="4C0A0019" w:tentative="1">
      <w:start w:val="1"/>
      <w:numFmt w:val="lowerLetter"/>
      <w:lvlText w:val="%8."/>
      <w:lvlJc w:val="left"/>
      <w:pPr>
        <w:ind w:left="5947" w:hanging="360"/>
      </w:pPr>
    </w:lvl>
    <w:lvl w:ilvl="8" w:tplc="4C0A001B" w:tentative="1">
      <w:start w:val="1"/>
      <w:numFmt w:val="lowerRoman"/>
      <w:lvlText w:val="%9."/>
      <w:lvlJc w:val="right"/>
      <w:pPr>
        <w:ind w:left="6667" w:hanging="180"/>
      </w:pPr>
    </w:lvl>
  </w:abstractNum>
  <w:abstractNum w:abstractNumId="1" w15:restartNumberingAfterBreak="0">
    <w:nsid w:val="0B8A7183"/>
    <w:multiLevelType w:val="multilevel"/>
    <w:tmpl w:val="532A09A2"/>
    <w:lvl w:ilvl="0">
      <w:start w:val="1"/>
      <w:numFmt w:val="upperRoman"/>
      <w:pStyle w:val="Ttulo1"/>
      <w:lvlText w:val="%1."/>
      <w:lvlJc w:val="right"/>
      <w:pPr>
        <w:tabs>
          <w:tab w:val="num" w:pos="540"/>
        </w:tabs>
        <w:ind w:left="540" w:hanging="18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D7C7963"/>
    <w:multiLevelType w:val="hybridMultilevel"/>
    <w:tmpl w:val="4BE4CEC0"/>
    <w:lvl w:ilvl="0" w:tplc="4C0A0015">
      <w:start w:val="1"/>
      <w:numFmt w:val="upperLetter"/>
      <w:lvlText w:val="%1."/>
      <w:lvlJc w:val="left"/>
      <w:pPr>
        <w:ind w:left="904" w:hanging="360"/>
      </w:pPr>
    </w:lvl>
    <w:lvl w:ilvl="1" w:tplc="4C0A0019" w:tentative="1">
      <w:start w:val="1"/>
      <w:numFmt w:val="lowerLetter"/>
      <w:lvlText w:val="%2."/>
      <w:lvlJc w:val="left"/>
      <w:pPr>
        <w:ind w:left="1624" w:hanging="360"/>
      </w:pPr>
    </w:lvl>
    <w:lvl w:ilvl="2" w:tplc="4C0A001B" w:tentative="1">
      <w:start w:val="1"/>
      <w:numFmt w:val="lowerRoman"/>
      <w:lvlText w:val="%3."/>
      <w:lvlJc w:val="right"/>
      <w:pPr>
        <w:ind w:left="2344" w:hanging="180"/>
      </w:pPr>
    </w:lvl>
    <w:lvl w:ilvl="3" w:tplc="4C0A000F" w:tentative="1">
      <w:start w:val="1"/>
      <w:numFmt w:val="decimal"/>
      <w:lvlText w:val="%4."/>
      <w:lvlJc w:val="left"/>
      <w:pPr>
        <w:ind w:left="3064" w:hanging="360"/>
      </w:pPr>
    </w:lvl>
    <w:lvl w:ilvl="4" w:tplc="4C0A0019" w:tentative="1">
      <w:start w:val="1"/>
      <w:numFmt w:val="lowerLetter"/>
      <w:lvlText w:val="%5."/>
      <w:lvlJc w:val="left"/>
      <w:pPr>
        <w:ind w:left="3784" w:hanging="360"/>
      </w:pPr>
    </w:lvl>
    <w:lvl w:ilvl="5" w:tplc="4C0A001B" w:tentative="1">
      <w:start w:val="1"/>
      <w:numFmt w:val="lowerRoman"/>
      <w:lvlText w:val="%6."/>
      <w:lvlJc w:val="right"/>
      <w:pPr>
        <w:ind w:left="4504" w:hanging="180"/>
      </w:pPr>
    </w:lvl>
    <w:lvl w:ilvl="6" w:tplc="4C0A000F" w:tentative="1">
      <w:start w:val="1"/>
      <w:numFmt w:val="decimal"/>
      <w:lvlText w:val="%7."/>
      <w:lvlJc w:val="left"/>
      <w:pPr>
        <w:ind w:left="5224" w:hanging="360"/>
      </w:pPr>
    </w:lvl>
    <w:lvl w:ilvl="7" w:tplc="4C0A0019" w:tentative="1">
      <w:start w:val="1"/>
      <w:numFmt w:val="lowerLetter"/>
      <w:lvlText w:val="%8."/>
      <w:lvlJc w:val="left"/>
      <w:pPr>
        <w:ind w:left="5944" w:hanging="360"/>
      </w:pPr>
    </w:lvl>
    <w:lvl w:ilvl="8" w:tplc="4C0A001B" w:tentative="1">
      <w:start w:val="1"/>
      <w:numFmt w:val="lowerRoman"/>
      <w:lvlText w:val="%9."/>
      <w:lvlJc w:val="right"/>
      <w:pPr>
        <w:ind w:left="6664" w:hanging="180"/>
      </w:pPr>
    </w:lvl>
  </w:abstractNum>
  <w:abstractNum w:abstractNumId="3" w15:restartNumberingAfterBreak="0">
    <w:nsid w:val="113E2AB9"/>
    <w:multiLevelType w:val="singleLevel"/>
    <w:tmpl w:val="C92C3AC8"/>
    <w:lvl w:ilvl="0">
      <w:start w:val="1"/>
      <w:numFmt w:val="lowerLetter"/>
      <w:pStyle w:val="Nachovieta"/>
      <w:lvlText w:val="%1)"/>
      <w:lvlJc w:val="left"/>
      <w:pPr>
        <w:tabs>
          <w:tab w:val="num" w:pos="1143"/>
        </w:tabs>
        <w:ind w:left="1143" w:hanging="576"/>
      </w:pPr>
      <w:rPr>
        <w:rFonts w:hint="default"/>
      </w:rPr>
    </w:lvl>
  </w:abstractNum>
  <w:abstractNum w:abstractNumId="4" w15:restartNumberingAfterBreak="0">
    <w:nsid w:val="1486069A"/>
    <w:multiLevelType w:val="multilevel"/>
    <w:tmpl w:val="009CC7A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75F59DC"/>
    <w:multiLevelType w:val="hybridMultilevel"/>
    <w:tmpl w:val="1602C5C8"/>
    <w:lvl w:ilvl="0" w:tplc="4C0A0017">
      <w:start w:val="1"/>
      <w:numFmt w:val="lowerLetter"/>
      <w:lvlText w:val="%1)"/>
      <w:lvlJc w:val="left"/>
      <w:pPr>
        <w:tabs>
          <w:tab w:val="num" w:pos="1440"/>
        </w:tabs>
        <w:ind w:left="1440" w:hanging="360"/>
      </w:pPr>
      <w:rPr>
        <w:rFont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D370F30"/>
    <w:multiLevelType w:val="hybridMultilevel"/>
    <w:tmpl w:val="5E0A27DE"/>
    <w:lvl w:ilvl="0" w:tplc="4C0A001B">
      <w:start w:val="1"/>
      <w:numFmt w:val="lowerRoman"/>
      <w:lvlText w:val="%1."/>
      <w:lvlJc w:val="right"/>
      <w:pPr>
        <w:ind w:left="3718" w:hanging="360"/>
      </w:pPr>
    </w:lvl>
    <w:lvl w:ilvl="1" w:tplc="4C0A0019">
      <w:start w:val="1"/>
      <w:numFmt w:val="lowerLetter"/>
      <w:lvlText w:val="%2."/>
      <w:lvlJc w:val="left"/>
      <w:pPr>
        <w:ind w:left="4438" w:hanging="360"/>
      </w:pPr>
    </w:lvl>
    <w:lvl w:ilvl="2" w:tplc="4C0A001B">
      <w:start w:val="1"/>
      <w:numFmt w:val="lowerRoman"/>
      <w:lvlText w:val="%3."/>
      <w:lvlJc w:val="right"/>
      <w:pPr>
        <w:ind w:left="5158" w:hanging="180"/>
      </w:pPr>
    </w:lvl>
    <w:lvl w:ilvl="3" w:tplc="4C0A0019">
      <w:start w:val="1"/>
      <w:numFmt w:val="lowerLetter"/>
      <w:lvlText w:val="%4."/>
      <w:lvlJc w:val="left"/>
      <w:pPr>
        <w:ind w:left="5878" w:hanging="360"/>
      </w:pPr>
    </w:lvl>
    <w:lvl w:ilvl="4" w:tplc="4C0A0019" w:tentative="1">
      <w:start w:val="1"/>
      <w:numFmt w:val="lowerLetter"/>
      <w:lvlText w:val="%5."/>
      <w:lvlJc w:val="left"/>
      <w:pPr>
        <w:ind w:left="6598" w:hanging="360"/>
      </w:pPr>
    </w:lvl>
    <w:lvl w:ilvl="5" w:tplc="4C0A001B" w:tentative="1">
      <w:start w:val="1"/>
      <w:numFmt w:val="lowerRoman"/>
      <w:lvlText w:val="%6."/>
      <w:lvlJc w:val="right"/>
      <w:pPr>
        <w:ind w:left="7318" w:hanging="180"/>
      </w:pPr>
    </w:lvl>
    <w:lvl w:ilvl="6" w:tplc="4C0A000F" w:tentative="1">
      <w:start w:val="1"/>
      <w:numFmt w:val="decimal"/>
      <w:lvlText w:val="%7."/>
      <w:lvlJc w:val="left"/>
      <w:pPr>
        <w:ind w:left="8038" w:hanging="360"/>
      </w:pPr>
    </w:lvl>
    <w:lvl w:ilvl="7" w:tplc="4C0A0019" w:tentative="1">
      <w:start w:val="1"/>
      <w:numFmt w:val="lowerLetter"/>
      <w:lvlText w:val="%8."/>
      <w:lvlJc w:val="left"/>
      <w:pPr>
        <w:ind w:left="8758" w:hanging="360"/>
      </w:pPr>
    </w:lvl>
    <w:lvl w:ilvl="8" w:tplc="4C0A001B" w:tentative="1">
      <w:start w:val="1"/>
      <w:numFmt w:val="lowerRoman"/>
      <w:lvlText w:val="%9."/>
      <w:lvlJc w:val="right"/>
      <w:pPr>
        <w:ind w:left="9478" w:hanging="180"/>
      </w:pPr>
    </w:lvl>
  </w:abstractNum>
  <w:abstractNum w:abstractNumId="7" w15:restartNumberingAfterBreak="0">
    <w:nsid w:val="20714F16"/>
    <w:multiLevelType w:val="hybridMultilevel"/>
    <w:tmpl w:val="2732F624"/>
    <w:lvl w:ilvl="0" w:tplc="4C0A001B">
      <w:start w:val="1"/>
      <w:numFmt w:val="lowerRoman"/>
      <w:lvlText w:val="%1."/>
      <w:lvlJc w:val="right"/>
      <w:pPr>
        <w:ind w:left="1080" w:hanging="360"/>
      </w:pPr>
      <w:rPr>
        <w:rFonts w:hint="default"/>
      </w:rPr>
    </w:lvl>
    <w:lvl w:ilvl="1" w:tplc="515C9F86">
      <w:start w:val="1"/>
      <w:numFmt w:val="lowerRoman"/>
      <w:lvlText w:val="%2."/>
      <w:lvlJc w:val="right"/>
      <w:pPr>
        <w:ind w:left="1800" w:hanging="360"/>
      </w:pPr>
      <w:rPr>
        <w:b w:val="0"/>
      </w:r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8" w15:restartNumberingAfterBreak="0">
    <w:nsid w:val="2338634F"/>
    <w:multiLevelType w:val="hybridMultilevel"/>
    <w:tmpl w:val="27C0514E"/>
    <w:lvl w:ilvl="0" w:tplc="4C0A0013">
      <w:start w:val="1"/>
      <w:numFmt w:val="upperRoman"/>
      <w:lvlText w:val="%1."/>
      <w:lvlJc w:val="righ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15:restartNumberingAfterBreak="0">
    <w:nsid w:val="283E1F54"/>
    <w:multiLevelType w:val="hybridMultilevel"/>
    <w:tmpl w:val="E4D673A2"/>
    <w:lvl w:ilvl="0" w:tplc="4C0A0017">
      <w:start w:val="1"/>
      <w:numFmt w:val="lowerLetter"/>
      <w:lvlText w:val="%1)"/>
      <w:lvlJc w:val="left"/>
      <w:pPr>
        <w:ind w:left="1418" w:hanging="360"/>
      </w:pPr>
      <w:rPr>
        <w:rFonts w:hint="default"/>
      </w:rPr>
    </w:lvl>
    <w:lvl w:ilvl="1" w:tplc="4C0A0019" w:tentative="1">
      <w:start w:val="1"/>
      <w:numFmt w:val="lowerLetter"/>
      <w:lvlText w:val="%2."/>
      <w:lvlJc w:val="left"/>
      <w:pPr>
        <w:ind w:left="2138" w:hanging="360"/>
      </w:pPr>
    </w:lvl>
    <w:lvl w:ilvl="2" w:tplc="4C0A001B" w:tentative="1">
      <w:start w:val="1"/>
      <w:numFmt w:val="lowerRoman"/>
      <w:lvlText w:val="%3."/>
      <w:lvlJc w:val="right"/>
      <w:pPr>
        <w:ind w:left="2858" w:hanging="180"/>
      </w:pPr>
    </w:lvl>
    <w:lvl w:ilvl="3" w:tplc="4C0A000F" w:tentative="1">
      <w:start w:val="1"/>
      <w:numFmt w:val="decimal"/>
      <w:lvlText w:val="%4."/>
      <w:lvlJc w:val="left"/>
      <w:pPr>
        <w:ind w:left="3578" w:hanging="360"/>
      </w:pPr>
    </w:lvl>
    <w:lvl w:ilvl="4" w:tplc="4C0A0019" w:tentative="1">
      <w:start w:val="1"/>
      <w:numFmt w:val="lowerLetter"/>
      <w:lvlText w:val="%5."/>
      <w:lvlJc w:val="left"/>
      <w:pPr>
        <w:ind w:left="4298" w:hanging="360"/>
      </w:pPr>
    </w:lvl>
    <w:lvl w:ilvl="5" w:tplc="4C0A001B" w:tentative="1">
      <w:start w:val="1"/>
      <w:numFmt w:val="lowerRoman"/>
      <w:lvlText w:val="%6."/>
      <w:lvlJc w:val="right"/>
      <w:pPr>
        <w:ind w:left="5018" w:hanging="180"/>
      </w:pPr>
    </w:lvl>
    <w:lvl w:ilvl="6" w:tplc="4C0A000F" w:tentative="1">
      <w:start w:val="1"/>
      <w:numFmt w:val="decimal"/>
      <w:lvlText w:val="%7."/>
      <w:lvlJc w:val="left"/>
      <w:pPr>
        <w:ind w:left="5738" w:hanging="360"/>
      </w:pPr>
    </w:lvl>
    <w:lvl w:ilvl="7" w:tplc="4C0A0019" w:tentative="1">
      <w:start w:val="1"/>
      <w:numFmt w:val="lowerLetter"/>
      <w:lvlText w:val="%8."/>
      <w:lvlJc w:val="left"/>
      <w:pPr>
        <w:ind w:left="6458" w:hanging="360"/>
      </w:pPr>
    </w:lvl>
    <w:lvl w:ilvl="8" w:tplc="4C0A001B" w:tentative="1">
      <w:start w:val="1"/>
      <w:numFmt w:val="lowerRoman"/>
      <w:lvlText w:val="%9."/>
      <w:lvlJc w:val="right"/>
      <w:pPr>
        <w:ind w:left="7178" w:hanging="180"/>
      </w:pPr>
    </w:lvl>
  </w:abstractNum>
  <w:abstractNum w:abstractNumId="10" w15:restartNumberingAfterBreak="0">
    <w:nsid w:val="2CF45105"/>
    <w:multiLevelType w:val="hybridMultilevel"/>
    <w:tmpl w:val="BA6412C8"/>
    <w:lvl w:ilvl="0" w:tplc="4C0A0001">
      <w:start w:val="1"/>
      <w:numFmt w:val="bullet"/>
      <w:lvlText w:val=""/>
      <w:lvlJc w:val="left"/>
      <w:pPr>
        <w:ind w:left="907" w:hanging="360"/>
      </w:pPr>
      <w:rPr>
        <w:rFonts w:ascii="Symbol" w:hAnsi="Symbol" w:hint="default"/>
        <w:b w:val="0"/>
      </w:rPr>
    </w:lvl>
    <w:lvl w:ilvl="1" w:tplc="4C0A0019" w:tentative="1">
      <w:start w:val="1"/>
      <w:numFmt w:val="lowerLetter"/>
      <w:lvlText w:val="%2."/>
      <w:lvlJc w:val="left"/>
      <w:pPr>
        <w:ind w:left="1627" w:hanging="360"/>
      </w:pPr>
    </w:lvl>
    <w:lvl w:ilvl="2" w:tplc="4C0A001B" w:tentative="1">
      <w:start w:val="1"/>
      <w:numFmt w:val="lowerRoman"/>
      <w:lvlText w:val="%3."/>
      <w:lvlJc w:val="right"/>
      <w:pPr>
        <w:ind w:left="2347" w:hanging="180"/>
      </w:pPr>
    </w:lvl>
    <w:lvl w:ilvl="3" w:tplc="4C0A000F" w:tentative="1">
      <w:start w:val="1"/>
      <w:numFmt w:val="decimal"/>
      <w:lvlText w:val="%4."/>
      <w:lvlJc w:val="left"/>
      <w:pPr>
        <w:ind w:left="3067" w:hanging="360"/>
      </w:pPr>
    </w:lvl>
    <w:lvl w:ilvl="4" w:tplc="4C0A0019" w:tentative="1">
      <w:start w:val="1"/>
      <w:numFmt w:val="lowerLetter"/>
      <w:lvlText w:val="%5."/>
      <w:lvlJc w:val="left"/>
      <w:pPr>
        <w:ind w:left="3787" w:hanging="360"/>
      </w:pPr>
    </w:lvl>
    <w:lvl w:ilvl="5" w:tplc="4C0A001B" w:tentative="1">
      <w:start w:val="1"/>
      <w:numFmt w:val="lowerRoman"/>
      <w:lvlText w:val="%6."/>
      <w:lvlJc w:val="right"/>
      <w:pPr>
        <w:ind w:left="4507" w:hanging="180"/>
      </w:pPr>
    </w:lvl>
    <w:lvl w:ilvl="6" w:tplc="4C0A000F" w:tentative="1">
      <w:start w:val="1"/>
      <w:numFmt w:val="decimal"/>
      <w:lvlText w:val="%7."/>
      <w:lvlJc w:val="left"/>
      <w:pPr>
        <w:ind w:left="5227" w:hanging="360"/>
      </w:pPr>
    </w:lvl>
    <w:lvl w:ilvl="7" w:tplc="4C0A0019" w:tentative="1">
      <w:start w:val="1"/>
      <w:numFmt w:val="lowerLetter"/>
      <w:lvlText w:val="%8."/>
      <w:lvlJc w:val="left"/>
      <w:pPr>
        <w:ind w:left="5947" w:hanging="360"/>
      </w:pPr>
    </w:lvl>
    <w:lvl w:ilvl="8" w:tplc="4C0A001B" w:tentative="1">
      <w:start w:val="1"/>
      <w:numFmt w:val="lowerRoman"/>
      <w:lvlText w:val="%9."/>
      <w:lvlJc w:val="right"/>
      <w:pPr>
        <w:ind w:left="6667" w:hanging="180"/>
      </w:pPr>
    </w:lvl>
  </w:abstractNum>
  <w:abstractNum w:abstractNumId="11" w15:restartNumberingAfterBreak="0">
    <w:nsid w:val="30973E95"/>
    <w:multiLevelType w:val="hybridMultilevel"/>
    <w:tmpl w:val="434AFA90"/>
    <w:lvl w:ilvl="0" w:tplc="4C0A001B">
      <w:start w:val="1"/>
      <w:numFmt w:val="lowerRoman"/>
      <w:lvlText w:val="%1."/>
      <w:lvlJc w:val="right"/>
      <w:pPr>
        <w:ind w:left="1800" w:hanging="360"/>
      </w:pPr>
    </w:lvl>
    <w:lvl w:ilvl="1" w:tplc="4C0A0019" w:tentative="1">
      <w:start w:val="1"/>
      <w:numFmt w:val="lowerLetter"/>
      <w:lvlText w:val="%2."/>
      <w:lvlJc w:val="left"/>
      <w:pPr>
        <w:ind w:left="2520" w:hanging="360"/>
      </w:pPr>
    </w:lvl>
    <w:lvl w:ilvl="2" w:tplc="4C0A001B" w:tentative="1">
      <w:start w:val="1"/>
      <w:numFmt w:val="lowerRoman"/>
      <w:lvlText w:val="%3."/>
      <w:lvlJc w:val="right"/>
      <w:pPr>
        <w:ind w:left="3240" w:hanging="180"/>
      </w:pPr>
    </w:lvl>
    <w:lvl w:ilvl="3" w:tplc="4C0A000F" w:tentative="1">
      <w:start w:val="1"/>
      <w:numFmt w:val="decimal"/>
      <w:lvlText w:val="%4."/>
      <w:lvlJc w:val="left"/>
      <w:pPr>
        <w:ind w:left="3960" w:hanging="360"/>
      </w:pPr>
    </w:lvl>
    <w:lvl w:ilvl="4" w:tplc="4C0A0019" w:tentative="1">
      <w:start w:val="1"/>
      <w:numFmt w:val="lowerLetter"/>
      <w:lvlText w:val="%5."/>
      <w:lvlJc w:val="left"/>
      <w:pPr>
        <w:ind w:left="4680" w:hanging="360"/>
      </w:pPr>
    </w:lvl>
    <w:lvl w:ilvl="5" w:tplc="4C0A001B" w:tentative="1">
      <w:start w:val="1"/>
      <w:numFmt w:val="lowerRoman"/>
      <w:lvlText w:val="%6."/>
      <w:lvlJc w:val="right"/>
      <w:pPr>
        <w:ind w:left="5400" w:hanging="180"/>
      </w:pPr>
    </w:lvl>
    <w:lvl w:ilvl="6" w:tplc="4C0A000F" w:tentative="1">
      <w:start w:val="1"/>
      <w:numFmt w:val="decimal"/>
      <w:lvlText w:val="%7."/>
      <w:lvlJc w:val="left"/>
      <w:pPr>
        <w:ind w:left="6120" w:hanging="360"/>
      </w:pPr>
    </w:lvl>
    <w:lvl w:ilvl="7" w:tplc="4C0A0019" w:tentative="1">
      <w:start w:val="1"/>
      <w:numFmt w:val="lowerLetter"/>
      <w:lvlText w:val="%8."/>
      <w:lvlJc w:val="left"/>
      <w:pPr>
        <w:ind w:left="6840" w:hanging="360"/>
      </w:pPr>
    </w:lvl>
    <w:lvl w:ilvl="8" w:tplc="4C0A001B" w:tentative="1">
      <w:start w:val="1"/>
      <w:numFmt w:val="lowerRoman"/>
      <w:lvlText w:val="%9."/>
      <w:lvlJc w:val="right"/>
      <w:pPr>
        <w:ind w:left="7560" w:hanging="180"/>
      </w:pPr>
    </w:lvl>
  </w:abstractNum>
  <w:abstractNum w:abstractNumId="12" w15:restartNumberingAfterBreak="0">
    <w:nsid w:val="332B36EB"/>
    <w:multiLevelType w:val="hybridMultilevel"/>
    <w:tmpl w:val="434AFA90"/>
    <w:lvl w:ilvl="0" w:tplc="4C0A001B">
      <w:start w:val="1"/>
      <w:numFmt w:val="lowerRoman"/>
      <w:lvlText w:val="%1."/>
      <w:lvlJc w:val="right"/>
      <w:pPr>
        <w:ind w:left="1800" w:hanging="360"/>
      </w:pPr>
    </w:lvl>
    <w:lvl w:ilvl="1" w:tplc="4C0A0019" w:tentative="1">
      <w:start w:val="1"/>
      <w:numFmt w:val="lowerLetter"/>
      <w:lvlText w:val="%2."/>
      <w:lvlJc w:val="left"/>
      <w:pPr>
        <w:ind w:left="2520" w:hanging="360"/>
      </w:pPr>
    </w:lvl>
    <w:lvl w:ilvl="2" w:tplc="4C0A001B" w:tentative="1">
      <w:start w:val="1"/>
      <w:numFmt w:val="lowerRoman"/>
      <w:lvlText w:val="%3."/>
      <w:lvlJc w:val="right"/>
      <w:pPr>
        <w:ind w:left="3240" w:hanging="180"/>
      </w:pPr>
    </w:lvl>
    <w:lvl w:ilvl="3" w:tplc="4C0A000F" w:tentative="1">
      <w:start w:val="1"/>
      <w:numFmt w:val="decimal"/>
      <w:lvlText w:val="%4."/>
      <w:lvlJc w:val="left"/>
      <w:pPr>
        <w:ind w:left="3960" w:hanging="360"/>
      </w:pPr>
    </w:lvl>
    <w:lvl w:ilvl="4" w:tplc="4C0A0019" w:tentative="1">
      <w:start w:val="1"/>
      <w:numFmt w:val="lowerLetter"/>
      <w:lvlText w:val="%5."/>
      <w:lvlJc w:val="left"/>
      <w:pPr>
        <w:ind w:left="4680" w:hanging="360"/>
      </w:pPr>
    </w:lvl>
    <w:lvl w:ilvl="5" w:tplc="4C0A001B" w:tentative="1">
      <w:start w:val="1"/>
      <w:numFmt w:val="lowerRoman"/>
      <w:lvlText w:val="%6."/>
      <w:lvlJc w:val="right"/>
      <w:pPr>
        <w:ind w:left="5400" w:hanging="180"/>
      </w:pPr>
    </w:lvl>
    <w:lvl w:ilvl="6" w:tplc="4C0A000F" w:tentative="1">
      <w:start w:val="1"/>
      <w:numFmt w:val="decimal"/>
      <w:lvlText w:val="%7."/>
      <w:lvlJc w:val="left"/>
      <w:pPr>
        <w:ind w:left="6120" w:hanging="360"/>
      </w:pPr>
    </w:lvl>
    <w:lvl w:ilvl="7" w:tplc="4C0A0019" w:tentative="1">
      <w:start w:val="1"/>
      <w:numFmt w:val="lowerLetter"/>
      <w:lvlText w:val="%8."/>
      <w:lvlJc w:val="left"/>
      <w:pPr>
        <w:ind w:left="6840" w:hanging="360"/>
      </w:pPr>
    </w:lvl>
    <w:lvl w:ilvl="8" w:tplc="4C0A001B" w:tentative="1">
      <w:start w:val="1"/>
      <w:numFmt w:val="lowerRoman"/>
      <w:lvlText w:val="%9."/>
      <w:lvlJc w:val="right"/>
      <w:pPr>
        <w:ind w:left="7560" w:hanging="180"/>
      </w:pPr>
    </w:lvl>
  </w:abstractNum>
  <w:abstractNum w:abstractNumId="13" w15:restartNumberingAfterBreak="0">
    <w:nsid w:val="33B153C6"/>
    <w:multiLevelType w:val="multilevel"/>
    <w:tmpl w:val="22F8D55C"/>
    <w:lvl w:ilvl="0">
      <w:start w:val="1"/>
      <w:numFmt w:val="decimal"/>
      <w:lvlText w:val="%1"/>
      <w:lvlJc w:val="left"/>
      <w:pPr>
        <w:ind w:left="432" w:hanging="432"/>
      </w:pPr>
      <w:rPr>
        <w:rFonts w:hint="default"/>
      </w:rPr>
    </w:lvl>
    <w:lvl w:ilvl="1">
      <w:start w:val="1"/>
      <w:numFmt w:val="decimal"/>
      <w:pStyle w:val="Arely2"/>
      <w:lvlText w:val="1.%2."/>
      <w:lvlJc w:val="left"/>
      <w:pPr>
        <w:ind w:left="576" w:hanging="576"/>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62425DC"/>
    <w:multiLevelType w:val="singleLevel"/>
    <w:tmpl w:val="4C0A0001"/>
    <w:lvl w:ilvl="0">
      <w:start w:val="1"/>
      <w:numFmt w:val="bullet"/>
      <w:lvlText w:val=""/>
      <w:lvlJc w:val="left"/>
      <w:pPr>
        <w:ind w:left="700" w:hanging="360"/>
      </w:pPr>
      <w:rPr>
        <w:rFonts w:ascii="Symbol" w:hAnsi="Symbol" w:hint="default"/>
        <w:b w:val="0"/>
        <w:i w:val="0"/>
        <w:strike w:val="0"/>
        <w:color w:val="auto"/>
        <w:sz w:val="22"/>
        <w:szCs w:val="22"/>
      </w:rPr>
    </w:lvl>
  </w:abstractNum>
  <w:abstractNum w:abstractNumId="15" w15:restartNumberingAfterBreak="0">
    <w:nsid w:val="489D7355"/>
    <w:multiLevelType w:val="multilevel"/>
    <w:tmpl w:val="4B2C32A8"/>
    <w:lvl w:ilvl="0">
      <w:start w:val="1"/>
      <w:numFmt w:val="decimal"/>
      <w:lvlText w:val="%1"/>
      <w:lvlJc w:val="left"/>
      <w:pPr>
        <w:ind w:left="432" w:hanging="432"/>
      </w:pPr>
    </w:lvl>
    <w:lvl w:ilvl="1">
      <w:start w:val="1"/>
      <w:numFmt w:val="upperLetter"/>
      <w:lvlText w:val="%2."/>
      <w:lvlJc w:val="left"/>
      <w:pPr>
        <w:ind w:left="576" w:hanging="576"/>
      </w:pPr>
      <w:rPr>
        <w:color w:val="auto"/>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DD47D50"/>
    <w:multiLevelType w:val="multilevel"/>
    <w:tmpl w:val="4B2C32A8"/>
    <w:lvl w:ilvl="0">
      <w:start w:val="1"/>
      <w:numFmt w:val="decimal"/>
      <w:lvlText w:val="%1"/>
      <w:lvlJc w:val="left"/>
      <w:pPr>
        <w:ind w:left="432" w:hanging="432"/>
      </w:pPr>
    </w:lvl>
    <w:lvl w:ilvl="1">
      <w:start w:val="1"/>
      <w:numFmt w:val="upperLetter"/>
      <w:lvlText w:val="%2."/>
      <w:lvlJc w:val="left"/>
      <w:pPr>
        <w:ind w:left="576" w:hanging="576"/>
      </w:pPr>
      <w:rPr>
        <w:color w:val="auto"/>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F0F25DE"/>
    <w:multiLevelType w:val="hybridMultilevel"/>
    <w:tmpl w:val="F48E7060"/>
    <w:lvl w:ilvl="0" w:tplc="4C0A000F">
      <w:start w:val="1"/>
      <w:numFmt w:val="decimal"/>
      <w:lvlText w:val="%1."/>
      <w:lvlJc w:val="left"/>
      <w:pPr>
        <w:ind w:left="360" w:hanging="360"/>
      </w:pPr>
    </w:lvl>
    <w:lvl w:ilvl="1" w:tplc="4C0A001B">
      <w:start w:val="1"/>
      <w:numFmt w:val="lowerRoman"/>
      <w:lvlText w:val="%2."/>
      <w:lvlJc w:val="right"/>
      <w:pPr>
        <w:ind w:left="1080" w:hanging="360"/>
      </w:pPr>
    </w:lvl>
    <w:lvl w:ilvl="2" w:tplc="4C0A0019">
      <w:start w:val="1"/>
      <w:numFmt w:val="lowerLetter"/>
      <w:lvlText w:val="%3."/>
      <w:lvlJc w:val="lef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8" w15:restartNumberingAfterBreak="0">
    <w:nsid w:val="53D84455"/>
    <w:multiLevelType w:val="hybridMultilevel"/>
    <w:tmpl w:val="1602C5C8"/>
    <w:lvl w:ilvl="0" w:tplc="4C0A0017">
      <w:start w:val="1"/>
      <w:numFmt w:val="lowerLetter"/>
      <w:lvlText w:val="%1)"/>
      <w:lvlJc w:val="left"/>
      <w:pPr>
        <w:tabs>
          <w:tab w:val="num" w:pos="1440"/>
        </w:tabs>
        <w:ind w:left="1440" w:hanging="360"/>
      </w:pPr>
      <w:rPr>
        <w:rFont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63126898"/>
    <w:multiLevelType w:val="multilevel"/>
    <w:tmpl w:val="4B2C32A8"/>
    <w:lvl w:ilvl="0">
      <w:start w:val="1"/>
      <w:numFmt w:val="decimal"/>
      <w:lvlText w:val="%1"/>
      <w:lvlJc w:val="left"/>
      <w:pPr>
        <w:ind w:left="432" w:hanging="432"/>
      </w:pPr>
    </w:lvl>
    <w:lvl w:ilvl="1">
      <w:start w:val="1"/>
      <w:numFmt w:val="upperLetter"/>
      <w:lvlText w:val="%2."/>
      <w:lvlJc w:val="left"/>
      <w:pPr>
        <w:ind w:left="576" w:hanging="576"/>
      </w:pPr>
      <w:rPr>
        <w:color w:val="auto"/>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992518D"/>
    <w:multiLevelType w:val="hybridMultilevel"/>
    <w:tmpl w:val="B4F0F92E"/>
    <w:lvl w:ilvl="0" w:tplc="4C0A001B">
      <w:start w:val="1"/>
      <w:numFmt w:val="lowerRoman"/>
      <w:lvlText w:val="%1."/>
      <w:lvlJc w:val="right"/>
      <w:pPr>
        <w:ind w:left="3405" w:hanging="360"/>
      </w:pPr>
      <w:rPr>
        <w:b w:val="0"/>
      </w:rPr>
    </w:lvl>
    <w:lvl w:ilvl="1" w:tplc="4C0A0019" w:tentative="1">
      <w:start w:val="1"/>
      <w:numFmt w:val="lowerLetter"/>
      <w:lvlText w:val="%2."/>
      <w:lvlJc w:val="left"/>
      <w:pPr>
        <w:ind w:left="4125" w:hanging="360"/>
      </w:pPr>
    </w:lvl>
    <w:lvl w:ilvl="2" w:tplc="4C0A001B" w:tentative="1">
      <w:start w:val="1"/>
      <w:numFmt w:val="lowerRoman"/>
      <w:lvlText w:val="%3."/>
      <w:lvlJc w:val="right"/>
      <w:pPr>
        <w:ind w:left="4845" w:hanging="180"/>
      </w:pPr>
    </w:lvl>
    <w:lvl w:ilvl="3" w:tplc="4C0A000F" w:tentative="1">
      <w:start w:val="1"/>
      <w:numFmt w:val="decimal"/>
      <w:lvlText w:val="%4."/>
      <w:lvlJc w:val="left"/>
      <w:pPr>
        <w:ind w:left="5565" w:hanging="360"/>
      </w:pPr>
    </w:lvl>
    <w:lvl w:ilvl="4" w:tplc="4C0A0019" w:tentative="1">
      <w:start w:val="1"/>
      <w:numFmt w:val="lowerLetter"/>
      <w:lvlText w:val="%5."/>
      <w:lvlJc w:val="left"/>
      <w:pPr>
        <w:ind w:left="6285" w:hanging="360"/>
      </w:pPr>
    </w:lvl>
    <w:lvl w:ilvl="5" w:tplc="4C0A001B" w:tentative="1">
      <w:start w:val="1"/>
      <w:numFmt w:val="lowerRoman"/>
      <w:lvlText w:val="%6."/>
      <w:lvlJc w:val="right"/>
      <w:pPr>
        <w:ind w:left="7005" w:hanging="180"/>
      </w:pPr>
    </w:lvl>
    <w:lvl w:ilvl="6" w:tplc="4C0A000F" w:tentative="1">
      <w:start w:val="1"/>
      <w:numFmt w:val="decimal"/>
      <w:lvlText w:val="%7."/>
      <w:lvlJc w:val="left"/>
      <w:pPr>
        <w:ind w:left="7725" w:hanging="360"/>
      </w:pPr>
    </w:lvl>
    <w:lvl w:ilvl="7" w:tplc="4C0A0019" w:tentative="1">
      <w:start w:val="1"/>
      <w:numFmt w:val="lowerLetter"/>
      <w:lvlText w:val="%8."/>
      <w:lvlJc w:val="left"/>
      <w:pPr>
        <w:ind w:left="8445" w:hanging="360"/>
      </w:pPr>
    </w:lvl>
    <w:lvl w:ilvl="8" w:tplc="4C0A001B" w:tentative="1">
      <w:start w:val="1"/>
      <w:numFmt w:val="lowerRoman"/>
      <w:lvlText w:val="%9."/>
      <w:lvlJc w:val="right"/>
      <w:pPr>
        <w:ind w:left="9165" w:hanging="180"/>
      </w:pPr>
    </w:lvl>
  </w:abstractNum>
  <w:abstractNum w:abstractNumId="21" w15:restartNumberingAfterBreak="0">
    <w:nsid w:val="6C7A632B"/>
    <w:multiLevelType w:val="multilevel"/>
    <w:tmpl w:val="4B2C32A8"/>
    <w:lvl w:ilvl="0">
      <w:start w:val="1"/>
      <w:numFmt w:val="decimal"/>
      <w:lvlText w:val="%1"/>
      <w:lvlJc w:val="left"/>
      <w:pPr>
        <w:ind w:left="432" w:hanging="432"/>
      </w:pPr>
    </w:lvl>
    <w:lvl w:ilvl="1">
      <w:start w:val="1"/>
      <w:numFmt w:val="upperLetter"/>
      <w:lvlText w:val="%2."/>
      <w:lvlJc w:val="left"/>
      <w:pPr>
        <w:ind w:left="576" w:hanging="576"/>
      </w:pPr>
      <w:rPr>
        <w:color w:val="auto"/>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ECF3E00"/>
    <w:multiLevelType w:val="hybridMultilevel"/>
    <w:tmpl w:val="B998ABD2"/>
    <w:lvl w:ilvl="0" w:tplc="017AE60A">
      <w:start w:val="1"/>
      <w:numFmt w:val="decimal"/>
      <w:lvlText w:val="(%1)"/>
      <w:lvlJc w:val="left"/>
      <w:pPr>
        <w:ind w:left="644" w:hanging="360"/>
      </w:pPr>
      <w:rPr>
        <w:rFonts w:eastAsia="Times New Roman" w:hint="default"/>
      </w:rPr>
    </w:lvl>
    <w:lvl w:ilvl="1" w:tplc="4C0A0019" w:tentative="1">
      <w:start w:val="1"/>
      <w:numFmt w:val="lowerLetter"/>
      <w:lvlText w:val="%2."/>
      <w:lvlJc w:val="left"/>
      <w:pPr>
        <w:ind w:left="1364" w:hanging="360"/>
      </w:pPr>
    </w:lvl>
    <w:lvl w:ilvl="2" w:tplc="4C0A001B" w:tentative="1">
      <w:start w:val="1"/>
      <w:numFmt w:val="lowerRoman"/>
      <w:lvlText w:val="%3."/>
      <w:lvlJc w:val="right"/>
      <w:pPr>
        <w:ind w:left="2084" w:hanging="180"/>
      </w:pPr>
    </w:lvl>
    <w:lvl w:ilvl="3" w:tplc="4C0A000F" w:tentative="1">
      <w:start w:val="1"/>
      <w:numFmt w:val="decimal"/>
      <w:lvlText w:val="%4."/>
      <w:lvlJc w:val="left"/>
      <w:pPr>
        <w:ind w:left="2804" w:hanging="360"/>
      </w:pPr>
    </w:lvl>
    <w:lvl w:ilvl="4" w:tplc="4C0A0019" w:tentative="1">
      <w:start w:val="1"/>
      <w:numFmt w:val="lowerLetter"/>
      <w:lvlText w:val="%5."/>
      <w:lvlJc w:val="left"/>
      <w:pPr>
        <w:ind w:left="3524" w:hanging="360"/>
      </w:pPr>
    </w:lvl>
    <w:lvl w:ilvl="5" w:tplc="4C0A001B" w:tentative="1">
      <w:start w:val="1"/>
      <w:numFmt w:val="lowerRoman"/>
      <w:lvlText w:val="%6."/>
      <w:lvlJc w:val="right"/>
      <w:pPr>
        <w:ind w:left="4244" w:hanging="180"/>
      </w:pPr>
    </w:lvl>
    <w:lvl w:ilvl="6" w:tplc="4C0A000F" w:tentative="1">
      <w:start w:val="1"/>
      <w:numFmt w:val="decimal"/>
      <w:lvlText w:val="%7."/>
      <w:lvlJc w:val="left"/>
      <w:pPr>
        <w:ind w:left="4964" w:hanging="360"/>
      </w:pPr>
    </w:lvl>
    <w:lvl w:ilvl="7" w:tplc="4C0A0019" w:tentative="1">
      <w:start w:val="1"/>
      <w:numFmt w:val="lowerLetter"/>
      <w:lvlText w:val="%8."/>
      <w:lvlJc w:val="left"/>
      <w:pPr>
        <w:ind w:left="5684" w:hanging="360"/>
      </w:pPr>
    </w:lvl>
    <w:lvl w:ilvl="8" w:tplc="4C0A001B" w:tentative="1">
      <w:start w:val="1"/>
      <w:numFmt w:val="lowerRoman"/>
      <w:lvlText w:val="%9."/>
      <w:lvlJc w:val="right"/>
      <w:pPr>
        <w:ind w:left="6404" w:hanging="180"/>
      </w:pPr>
    </w:lvl>
  </w:abstractNum>
  <w:abstractNum w:abstractNumId="23" w15:restartNumberingAfterBreak="0">
    <w:nsid w:val="6F65493F"/>
    <w:multiLevelType w:val="multilevel"/>
    <w:tmpl w:val="783CFA84"/>
    <w:lvl w:ilvl="0">
      <w:start w:val="1"/>
      <w:numFmt w:val="decimal"/>
      <w:pStyle w:val="Numerales"/>
      <w:lvlText w:val="%1."/>
      <w:lvlJc w:val="left"/>
      <w:pPr>
        <w:tabs>
          <w:tab w:val="num" w:pos="540"/>
        </w:tabs>
        <w:ind w:left="540" w:hanging="180"/>
      </w:pPr>
      <w:rPr>
        <w:rFonts w:hint="default"/>
      </w:rPr>
    </w:lvl>
    <w:lvl w:ilvl="1">
      <w:start w:val="1"/>
      <w:numFmt w:val="upperLetter"/>
      <w:lvlText w:val="%2."/>
      <w:lvlJc w:val="left"/>
      <w:pPr>
        <w:tabs>
          <w:tab w:val="num" w:pos="720"/>
        </w:tabs>
        <w:ind w:left="720" w:hanging="360"/>
      </w:pPr>
      <w:rPr>
        <w:rFonts w:hint="default"/>
        <w:b/>
        <w:color w:val="auto"/>
      </w:rPr>
    </w:lvl>
    <w:lvl w:ilvl="2">
      <w:start w:val="1"/>
      <w:numFmt w:val="lowerRoman"/>
      <w:lvlText w:val="%3."/>
      <w:lvlJc w:val="righ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741E69A9"/>
    <w:multiLevelType w:val="hybridMultilevel"/>
    <w:tmpl w:val="1602C5C8"/>
    <w:lvl w:ilvl="0" w:tplc="4C0A0017">
      <w:start w:val="1"/>
      <w:numFmt w:val="lowerLetter"/>
      <w:lvlText w:val="%1)"/>
      <w:lvlJc w:val="left"/>
      <w:pPr>
        <w:tabs>
          <w:tab w:val="num" w:pos="1440"/>
        </w:tabs>
        <w:ind w:left="1440" w:hanging="360"/>
      </w:pPr>
      <w:rPr>
        <w:rFont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6A32964"/>
    <w:multiLevelType w:val="hybridMultilevel"/>
    <w:tmpl w:val="46267230"/>
    <w:lvl w:ilvl="0" w:tplc="A9860738">
      <w:start w:val="1"/>
      <w:numFmt w:val="decimal"/>
      <w:lvlText w:val="%1."/>
      <w:lvlJc w:val="left"/>
      <w:pPr>
        <w:ind w:left="720" w:hanging="360"/>
      </w:pPr>
      <w:rPr>
        <w:color w:val="000000" w:themeColor="text1"/>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6" w15:restartNumberingAfterBreak="0">
    <w:nsid w:val="7AA600E8"/>
    <w:multiLevelType w:val="hybridMultilevel"/>
    <w:tmpl w:val="28E8992E"/>
    <w:lvl w:ilvl="0" w:tplc="4C0A0015">
      <w:start w:val="1"/>
      <w:numFmt w:val="upperLetter"/>
      <w:lvlText w:val="%1."/>
      <w:lvlJc w:val="left"/>
      <w:pPr>
        <w:ind w:left="907" w:hanging="360"/>
      </w:pPr>
    </w:lvl>
    <w:lvl w:ilvl="1" w:tplc="4C0A0019" w:tentative="1">
      <w:start w:val="1"/>
      <w:numFmt w:val="lowerLetter"/>
      <w:lvlText w:val="%2."/>
      <w:lvlJc w:val="left"/>
      <w:pPr>
        <w:ind w:left="1627" w:hanging="360"/>
      </w:pPr>
    </w:lvl>
    <w:lvl w:ilvl="2" w:tplc="4C0A001B" w:tentative="1">
      <w:start w:val="1"/>
      <w:numFmt w:val="lowerRoman"/>
      <w:lvlText w:val="%3."/>
      <w:lvlJc w:val="right"/>
      <w:pPr>
        <w:ind w:left="2347" w:hanging="180"/>
      </w:pPr>
    </w:lvl>
    <w:lvl w:ilvl="3" w:tplc="4C0A000F" w:tentative="1">
      <w:start w:val="1"/>
      <w:numFmt w:val="decimal"/>
      <w:lvlText w:val="%4."/>
      <w:lvlJc w:val="left"/>
      <w:pPr>
        <w:ind w:left="3067" w:hanging="360"/>
      </w:pPr>
    </w:lvl>
    <w:lvl w:ilvl="4" w:tplc="4C0A0019" w:tentative="1">
      <w:start w:val="1"/>
      <w:numFmt w:val="lowerLetter"/>
      <w:lvlText w:val="%5."/>
      <w:lvlJc w:val="left"/>
      <w:pPr>
        <w:ind w:left="3787" w:hanging="360"/>
      </w:pPr>
    </w:lvl>
    <w:lvl w:ilvl="5" w:tplc="4C0A001B" w:tentative="1">
      <w:start w:val="1"/>
      <w:numFmt w:val="lowerRoman"/>
      <w:lvlText w:val="%6."/>
      <w:lvlJc w:val="right"/>
      <w:pPr>
        <w:ind w:left="4507" w:hanging="180"/>
      </w:pPr>
    </w:lvl>
    <w:lvl w:ilvl="6" w:tplc="4C0A000F" w:tentative="1">
      <w:start w:val="1"/>
      <w:numFmt w:val="decimal"/>
      <w:lvlText w:val="%7."/>
      <w:lvlJc w:val="left"/>
      <w:pPr>
        <w:ind w:left="5227" w:hanging="360"/>
      </w:pPr>
    </w:lvl>
    <w:lvl w:ilvl="7" w:tplc="4C0A0019" w:tentative="1">
      <w:start w:val="1"/>
      <w:numFmt w:val="lowerLetter"/>
      <w:lvlText w:val="%8."/>
      <w:lvlJc w:val="left"/>
      <w:pPr>
        <w:ind w:left="5947" w:hanging="360"/>
      </w:pPr>
    </w:lvl>
    <w:lvl w:ilvl="8" w:tplc="4C0A001B" w:tentative="1">
      <w:start w:val="1"/>
      <w:numFmt w:val="lowerRoman"/>
      <w:lvlText w:val="%9."/>
      <w:lvlJc w:val="right"/>
      <w:pPr>
        <w:ind w:left="6667" w:hanging="180"/>
      </w:pPr>
    </w:lvl>
  </w:abstractNum>
  <w:abstractNum w:abstractNumId="27" w15:restartNumberingAfterBreak="0">
    <w:nsid w:val="7FE6004B"/>
    <w:multiLevelType w:val="hybridMultilevel"/>
    <w:tmpl w:val="1602C5C8"/>
    <w:lvl w:ilvl="0" w:tplc="4C0A0017">
      <w:start w:val="1"/>
      <w:numFmt w:val="lowerLetter"/>
      <w:lvlText w:val="%1)"/>
      <w:lvlJc w:val="left"/>
      <w:pPr>
        <w:tabs>
          <w:tab w:val="num" w:pos="1440"/>
        </w:tabs>
        <w:ind w:left="1440" w:hanging="360"/>
      </w:pPr>
      <w:rPr>
        <w:rFont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num w:numId="1">
    <w:abstractNumId w:val="17"/>
  </w:num>
  <w:num w:numId="2">
    <w:abstractNumId w:val="1"/>
  </w:num>
  <w:num w:numId="3">
    <w:abstractNumId w:val="3"/>
  </w:num>
  <w:num w:numId="4">
    <w:abstractNumId w:val="4"/>
  </w:num>
  <w:num w:numId="5">
    <w:abstractNumId w:val="2"/>
  </w:num>
  <w:num w:numId="6">
    <w:abstractNumId w:val="0"/>
  </w:num>
  <w:num w:numId="7">
    <w:abstractNumId w:val="20"/>
  </w:num>
  <w:num w:numId="8">
    <w:abstractNumId w:val="9"/>
  </w:num>
  <w:num w:numId="9">
    <w:abstractNumId w:val="6"/>
  </w:num>
  <w:num w:numId="10">
    <w:abstractNumId w:val="16"/>
  </w:num>
  <w:num w:numId="11">
    <w:abstractNumId w:val="25"/>
  </w:num>
  <w:num w:numId="12">
    <w:abstractNumId w:val="7"/>
  </w:num>
  <w:num w:numId="13">
    <w:abstractNumId w:val="10"/>
  </w:num>
  <w:num w:numId="14">
    <w:abstractNumId w:val="26"/>
  </w:num>
  <w:num w:numId="15">
    <w:abstractNumId w:val="14"/>
  </w:num>
  <w:num w:numId="16">
    <w:abstractNumId w:val="5"/>
  </w:num>
  <w:num w:numId="17">
    <w:abstractNumId w:val="22"/>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
  </w:num>
  <w:num w:numId="22">
    <w:abstractNumId w:val="23"/>
  </w:num>
  <w:num w:numId="23">
    <w:abstractNumId w:val="1"/>
  </w:num>
  <w:num w:numId="24">
    <w:abstractNumId w:val="1"/>
  </w:num>
  <w:num w:numId="25">
    <w:abstractNumId w:val="1"/>
  </w:num>
  <w:num w:numId="26">
    <w:abstractNumId w:val="1"/>
  </w:num>
  <w:num w:numId="27">
    <w:abstractNumId w:val="1"/>
  </w:num>
  <w:num w:numId="28">
    <w:abstractNumId w:val="2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11"/>
  </w:num>
  <w:num w:numId="39">
    <w:abstractNumId w:val="12"/>
  </w:num>
  <w:num w:numId="40">
    <w:abstractNumId w:val="23"/>
  </w:num>
  <w:num w:numId="41">
    <w:abstractNumId w:val="21"/>
  </w:num>
  <w:num w:numId="42">
    <w:abstractNumId w:val="19"/>
  </w:num>
  <w:num w:numId="43">
    <w:abstractNumId w:val="27"/>
  </w:num>
  <w:num w:numId="44">
    <w:abstractNumId w:val="18"/>
  </w:num>
  <w:num w:numId="45">
    <w:abstractNumId w:val="24"/>
  </w:num>
  <w:num w:numId="46">
    <w:abstractNumId w:val="15"/>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3D1"/>
    <w:rsid w:val="00003422"/>
    <w:rsid w:val="000061C7"/>
    <w:rsid w:val="00011C1D"/>
    <w:rsid w:val="000128BE"/>
    <w:rsid w:val="000137BA"/>
    <w:rsid w:val="00013C83"/>
    <w:rsid w:val="000154E6"/>
    <w:rsid w:val="00022DF8"/>
    <w:rsid w:val="00025F20"/>
    <w:rsid w:val="00027385"/>
    <w:rsid w:val="00040BB9"/>
    <w:rsid w:val="00043E51"/>
    <w:rsid w:val="000462C4"/>
    <w:rsid w:val="00053976"/>
    <w:rsid w:val="00055985"/>
    <w:rsid w:val="00055AA1"/>
    <w:rsid w:val="000573AD"/>
    <w:rsid w:val="0006048F"/>
    <w:rsid w:val="00065475"/>
    <w:rsid w:val="00070417"/>
    <w:rsid w:val="0007560E"/>
    <w:rsid w:val="00076A55"/>
    <w:rsid w:val="00082546"/>
    <w:rsid w:val="000827F7"/>
    <w:rsid w:val="000831E4"/>
    <w:rsid w:val="00084D42"/>
    <w:rsid w:val="00090F05"/>
    <w:rsid w:val="000A170A"/>
    <w:rsid w:val="000A2423"/>
    <w:rsid w:val="000A5049"/>
    <w:rsid w:val="000A7645"/>
    <w:rsid w:val="000B465C"/>
    <w:rsid w:val="000B4D46"/>
    <w:rsid w:val="000C3695"/>
    <w:rsid w:val="000C6A0D"/>
    <w:rsid w:val="000C6C54"/>
    <w:rsid w:val="000D23A2"/>
    <w:rsid w:val="000D317B"/>
    <w:rsid w:val="000D3A50"/>
    <w:rsid w:val="000E77B2"/>
    <w:rsid w:val="000F1DBE"/>
    <w:rsid w:val="000F39BD"/>
    <w:rsid w:val="000F56AA"/>
    <w:rsid w:val="000F6339"/>
    <w:rsid w:val="00100143"/>
    <w:rsid w:val="0010014A"/>
    <w:rsid w:val="0010218E"/>
    <w:rsid w:val="00112669"/>
    <w:rsid w:val="00114CB5"/>
    <w:rsid w:val="00122D0F"/>
    <w:rsid w:val="00134613"/>
    <w:rsid w:val="00135E49"/>
    <w:rsid w:val="001410FD"/>
    <w:rsid w:val="00143A5E"/>
    <w:rsid w:val="0014400D"/>
    <w:rsid w:val="00144854"/>
    <w:rsid w:val="0014620F"/>
    <w:rsid w:val="001510C3"/>
    <w:rsid w:val="00151BC8"/>
    <w:rsid w:val="00162310"/>
    <w:rsid w:val="00180B3E"/>
    <w:rsid w:val="00193A24"/>
    <w:rsid w:val="00194A40"/>
    <w:rsid w:val="001A1F08"/>
    <w:rsid w:val="001A1F20"/>
    <w:rsid w:val="001A448D"/>
    <w:rsid w:val="001D137A"/>
    <w:rsid w:val="001D38A3"/>
    <w:rsid w:val="001D6B70"/>
    <w:rsid w:val="001D6D50"/>
    <w:rsid w:val="001E1007"/>
    <w:rsid w:val="001E244A"/>
    <w:rsid w:val="001E6E00"/>
    <w:rsid w:val="001F0A6C"/>
    <w:rsid w:val="001F188A"/>
    <w:rsid w:val="001F43CD"/>
    <w:rsid w:val="001F6501"/>
    <w:rsid w:val="001F65EA"/>
    <w:rsid w:val="001F7890"/>
    <w:rsid w:val="002037DF"/>
    <w:rsid w:val="00206783"/>
    <w:rsid w:val="002129FA"/>
    <w:rsid w:val="00214A58"/>
    <w:rsid w:val="0021595C"/>
    <w:rsid w:val="0021729A"/>
    <w:rsid w:val="002235C6"/>
    <w:rsid w:val="00231421"/>
    <w:rsid w:val="00232323"/>
    <w:rsid w:val="00233EB1"/>
    <w:rsid w:val="00234025"/>
    <w:rsid w:val="00235525"/>
    <w:rsid w:val="00235CFD"/>
    <w:rsid w:val="00236DAF"/>
    <w:rsid w:val="002416B7"/>
    <w:rsid w:val="0024569E"/>
    <w:rsid w:val="00254526"/>
    <w:rsid w:val="00263AE0"/>
    <w:rsid w:val="002749BE"/>
    <w:rsid w:val="00274BE9"/>
    <w:rsid w:val="002819A2"/>
    <w:rsid w:val="00281F3D"/>
    <w:rsid w:val="002853D1"/>
    <w:rsid w:val="002948CC"/>
    <w:rsid w:val="00295CC5"/>
    <w:rsid w:val="0029771A"/>
    <w:rsid w:val="002A2648"/>
    <w:rsid w:val="002A3BD0"/>
    <w:rsid w:val="002A7D81"/>
    <w:rsid w:val="002B1380"/>
    <w:rsid w:val="002B5539"/>
    <w:rsid w:val="002C0194"/>
    <w:rsid w:val="002C391A"/>
    <w:rsid w:val="002C55F3"/>
    <w:rsid w:val="002E06B2"/>
    <w:rsid w:val="002E0CAD"/>
    <w:rsid w:val="002E290D"/>
    <w:rsid w:val="002E2E1E"/>
    <w:rsid w:val="002E2F17"/>
    <w:rsid w:val="002E3198"/>
    <w:rsid w:val="002F1C52"/>
    <w:rsid w:val="002F23BB"/>
    <w:rsid w:val="002F33B0"/>
    <w:rsid w:val="002F7325"/>
    <w:rsid w:val="00302036"/>
    <w:rsid w:val="00307141"/>
    <w:rsid w:val="00311DB0"/>
    <w:rsid w:val="003127A2"/>
    <w:rsid w:val="00312D68"/>
    <w:rsid w:val="00312E08"/>
    <w:rsid w:val="00315EBE"/>
    <w:rsid w:val="0032701D"/>
    <w:rsid w:val="00327496"/>
    <w:rsid w:val="00327CC5"/>
    <w:rsid w:val="003301E3"/>
    <w:rsid w:val="00330F51"/>
    <w:rsid w:val="003315AB"/>
    <w:rsid w:val="00344EBA"/>
    <w:rsid w:val="00347C9D"/>
    <w:rsid w:val="00352802"/>
    <w:rsid w:val="003734F6"/>
    <w:rsid w:val="00392D3F"/>
    <w:rsid w:val="0039588A"/>
    <w:rsid w:val="00396D69"/>
    <w:rsid w:val="003A7F56"/>
    <w:rsid w:val="003B3E87"/>
    <w:rsid w:val="003B579B"/>
    <w:rsid w:val="003C050B"/>
    <w:rsid w:val="003C75E3"/>
    <w:rsid w:val="003D1ACE"/>
    <w:rsid w:val="003E0FC7"/>
    <w:rsid w:val="003E5343"/>
    <w:rsid w:val="003F0852"/>
    <w:rsid w:val="003F0B89"/>
    <w:rsid w:val="003F1BEC"/>
    <w:rsid w:val="003F2B20"/>
    <w:rsid w:val="003F4D8B"/>
    <w:rsid w:val="003F5253"/>
    <w:rsid w:val="003F6F8B"/>
    <w:rsid w:val="00403270"/>
    <w:rsid w:val="00407218"/>
    <w:rsid w:val="00407771"/>
    <w:rsid w:val="00414F7E"/>
    <w:rsid w:val="00415021"/>
    <w:rsid w:val="00420834"/>
    <w:rsid w:val="00420BE5"/>
    <w:rsid w:val="00422335"/>
    <w:rsid w:val="00425863"/>
    <w:rsid w:val="00430043"/>
    <w:rsid w:val="00437CBE"/>
    <w:rsid w:val="00440296"/>
    <w:rsid w:val="00441C38"/>
    <w:rsid w:val="00442940"/>
    <w:rsid w:val="0044311D"/>
    <w:rsid w:val="00446736"/>
    <w:rsid w:val="00450616"/>
    <w:rsid w:val="00453348"/>
    <w:rsid w:val="00453F5A"/>
    <w:rsid w:val="0045511B"/>
    <w:rsid w:val="0045590F"/>
    <w:rsid w:val="00456AF5"/>
    <w:rsid w:val="00457016"/>
    <w:rsid w:val="00460D77"/>
    <w:rsid w:val="00461E5C"/>
    <w:rsid w:val="004717EC"/>
    <w:rsid w:val="0047417A"/>
    <w:rsid w:val="00474EF4"/>
    <w:rsid w:val="0048030D"/>
    <w:rsid w:val="00481B36"/>
    <w:rsid w:val="00482B6D"/>
    <w:rsid w:val="00482FA4"/>
    <w:rsid w:val="004954FC"/>
    <w:rsid w:val="004A2AB4"/>
    <w:rsid w:val="004A3978"/>
    <w:rsid w:val="004A6073"/>
    <w:rsid w:val="004B22EB"/>
    <w:rsid w:val="004B426A"/>
    <w:rsid w:val="004B4C9F"/>
    <w:rsid w:val="004B63AA"/>
    <w:rsid w:val="004B644E"/>
    <w:rsid w:val="004B67F9"/>
    <w:rsid w:val="004D4995"/>
    <w:rsid w:val="004D55F9"/>
    <w:rsid w:val="004D67D4"/>
    <w:rsid w:val="004E03DE"/>
    <w:rsid w:val="004E2024"/>
    <w:rsid w:val="004E35E5"/>
    <w:rsid w:val="004E6058"/>
    <w:rsid w:val="004F61A6"/>
    <w:rsid w:val="00500ED2"/>
    <w:rsid w:val="005076C6"/>
    <w:rsid w:val="00507C4F"/>
    <w:rsid w:val="0051655F"/>
    <w:rsid w:val="00520B5E"/>
    <w:rsid w:val="00522B68"/>
    <w:rsid w:val="0052551A"/>
    <w:rsid w:val="00527DF6"/>
    <w:rsid w:val="005306B3"/>
    <w:rsid w:val="0053093E"/>
    <w:rsid w:val="005322A7"/>
    <w:rsid w:val="00532829"/>
    <w:rsid w:val="005330F2"/>
    <w:rsid w:val="0053775F"/>
    <w:rsid w:val="0054656E"/>
    <w:rsid w:val="00547422"/>
    <w:rsid w:val="00552ABC"/>
    <w:rsid w:val="0056166D"/>
    <w:rsid w:val="00563498"/>
    <w:rsid w:val="00564773"/>
    <w:rsid w:val="00565239"/>
    <w:rsid w:val="005708F5"/>
    <w:rsid w:val="00572867"/>
    <w:rsid w:val="00581327"/>
    <w:rsid w:val="005961D5"/>
    <w:rsid w:val="00597409"/>
    <w:rsid w:val="005A59FD"/>
    <w:rsid w:val="005B0312"/>
    <w:rsid w:val="005B198E"/>
    <w:rsid w:val="005B33A3"/>
    <w:rsid w:val="005B75FE"/>
    <w:rsid w:val="005B7BC5"/>
    <w:rsid w:val="005C45BF"/>
    <w:rsid w:val="005C564D"/>
    <w:rsid w:val="005C5812"/>
    <w:rsid w:val="005C6D5A"/>
    <w:rsid w:val="005D0040"/>
    <w:rsid w:val="005D2542"/>
    <w:rsid w:val="005D3A3F"/>
    <w:rsid w:val="005D4169"/>
    <w:rsid w:val="005D51FA"/>
    <w:rsid w:val="005E314D"/>
    <w:rsid w:val="005E6F75"/>
    <w:rsid w:val="005F34A3"/>
    <w:rsid w:val="005F6618"/>
    <w:rsid w:val="005F6F9C"/>
    <w:rsid w:val="005F7A67"/>
    <w:rsid w:val="0060029C"/>
    <w:rsid w:val="0060300B"/>
    <w:rsid w:val="00610570"/>
    <w:rsid w:val="006113B5"/>
    <w:rsid w:val="00612CB3"/>
    <w:rsid w:val="00617B29"/>
    <w:rsid w:val="00623B94"/>
    <w:rsid w:val="00625BE9"/>
    <w:rsid w:val="00633CF1"/>
    <w:rsid w:val="0064044F"/>
    <w:rsid w:val="00642A0A"/>
    <w:rsid w:val="00643951"/>
    <w:rsid w:val="006519CD"/>
    <w:rsid w:val="00675F56"/>
    <w:rsid w:val="006837F0"/>
    <w:rsid w:val="00684A95"/>
    <w:rsid w:val="00691607"/>
    <w:rsid w:val="00693965"/>
    <w:rsid w:val="0069438D"/>
    <w:rsid w:val="006A0087"/>
    <w:rsid w:val="006A1E1D"/>
    <w:rsid w:val="006A41FD"/>
    <w:rsid w:val="006A4FD1"/>
    <w:rsid w:val="006A55E4"/>
    <w:rsid w:val="006A64E5"/>
    <w:rsid w:val="006B386A"/>
    <w:rsid w:val="006B4C5E"/>
    <w:rsid w:val="006B5CFB"/>
    <w:rsid w:val="006C459C"/>
    <w:rsid w:val="006C78AA"/>
    <w:rsid w:val="006C7A3A"/>
    <w:rsid w:val="006D063F"/>
    <w:rsid w:val="006D3F34"/>
    <w:rsid w:val="006D443A"/>
    <w:rsid w:val="006D486D"/>
    <w:rsid w:val="006D520C"/>
    <w:rsid w:val="006D618E"/>
    <w:rsid w:val="006D6442"/>
    <w:rsid w:val="006E0AC0"/>
    <w:rsid w:val="006E59C0"/>
    <w:rsid w:val="006F1F3C"/>
    <w:rsid w:val="006F3C7F"/>
    <w:rsid w:val="006F714D"/>
    <w:rsid w:val="00707C4D"/>
    <w:rsid w:val="00714E78"/>
    <w:rsid w:val="00716BDA"/>
    <w:rsid w:val="00716D21"/>
    <w:rsid w:val="00717D16"/>
    <w:rsid w:val="007205EF"/>
    <w:rsid w:val="00721818"/>
    <w:rsid w:val="00724934"/>
    <w:rsid w:val="007252EA"/>
    <w:rsid w:val="00726704"/>
    <w:rsid w:val="00730D60"/>
    <w:rsid w:val="0073437A"/>
    <w:rsid w:val="007347E1"/>
    <w:rsid w:val="00736C42"/>
    <w:rsid w:val="00754821"/>
    <w:rsid w:val="0075565B"/>
    <w:rsid w:val="007623F5"/>
    <w:rsid w:val="00770B30"/>
    <w:rsid w:val="00770C47"/>
    <w:rsid w:val="0077472D"/>
    <w:rsid w:val="00776AA6"/>
    <w:rsid w:val="00785B47"/>
    <w:rsid w:val="00790257"/>
    <w:rsid w:val="0079245B"/>
    <w:rsid w:val="00793BFD"/>
    <w:rsid w:val="00795CAE"/>
    <w:rsid w:val="00797851"/>
    <w:rsid w:val="007A0915"/>
    <w:rsid w:val="007A1E02"/>
    <w:rsid w:val="007B2F4E"/>
    <w:rsid w:val="007B4607"/>
    <w:rsid w:val="007C104A"/>
    <w:rsid w:val="007C177E"/>
    <w:rsid w:val="007C180A"/>
    <w:rsid w:val="007C2B07"/>
    <w:rsid w:val="007D1121"/>
    <w:rsid w:val="007D29CA"/>
    <w:rsid w:val="007D4AB7"/>
    <w:rsid w:val="007F2673"/>
    <w:rsid w:val="007F617C"/>
    <w:rsid w:val="007F7677"/>
    <w:rsid w:val="00801EFE"/>
    <w:rsid w:val="00805A3E"/>
    <w:rsid w:val="00805F0A"/>
    <w:rsid w:val="00810FE2"/>
    <w:rsid w:val="00812227"/>
    <w:rsid w:val="00815370"/>
    <w:rsid w:val="00826C68"/>
    <w:rsid w:val="00831D7B"/>
    <w:rsid w:val="00832818"/>
    <w:rsid w:val="00846385"/>
    <w:rsid w:val="0084734A"/>
    <w:rsid w:val="008545B9"/>
    <w:rsid w:val="008555B1"/>
    <w:rsid w:val="00863A30"/>
    <w:rsid w:val="00863DB6"/>
    <w:rsid w:val="00883453"/>
    <w:rsid w:val="0088363F"/>
    <w:rsid w:val="008837DC"/>
    <w:rsid w:val="0088437C"/>
    <w:rsid w:val="008907EE"/>
    <w:rsid w:val="00891514"/>
    <w:rsid w:val="0089287E"/>
    <w:rsid w:val="008A5923"/>
    <w:rsid w:val="008A59CA"/>
    <w:rsid w:val="008B17B2"/>
    <w:rsid w:val="008B1B4E"/>
    <w:rsid w:val="008B2CA1"/>
    <w:rsid w:val="008B32EF"/>
    <w:rsid w:val="008B774A"/>
    <w:rsid w:val="008C1005"/>
    <w:rsid w:val="008C5CA0"/>
    <w:rsid w:val="008C76AA"/>
    <w:rsid w:val="008C78CB"/>
    <w:rsid w:val="008D0FBF"/>
    <w:rsid w:val="008D6CA5"/>
    <w:rsid w:val="008D7F1E"/>
    <w:rsid w:val="008E5440"/>
    <w:rsid w:val="008F0EF2"/>
    <w:rsid w:val="008F5E8C"/>
    <w:rsid w:val="008F7D67"/>
    <w:rsid w:val="008F7FAA"/>
    <w:rsid w:val="00900CAD"/>
    <w:rsid w:val="00903990"/>
    <w:rsid w:val="0090585C"/>
    <w:rsid w:val="00906B0E"/>
    <w:rsid w:val="00916FEA"/>
    <w:rsid w:val="00917796"/>
    <w:rsid w:val="00920E61"/>
    <w:rsid w:val="00923BF2"/>
    <w:rsid w:val="00924CA1"/>
    <w:rsid w:val="00930B9E"/>
    <w:rsid w:val="00940F96"/>
    <w:rsid w:val="00941172"/>
    <w:rsid w:val="009443D1"/>
    <w:rsid w:val="00961D5B"/>
    <w:rsid w:val="0097131B"/>
    <w:rsid w:val="00973418"/>
    <w:rsid w:val="0097449F"/>
    <w:rsid w:val="009764E9"/>
    <w:rsid w:val="00984ED1"/>
    <w:rsid w:val="00991A5E"/>
    <w:rsid w:val="00996730"/>
    <w:rsid w:val="009A4518"/>
    <w:rsid w:val="009B099F"/>
    <w:rsid w:val="009B6E6C"/>
    <w:rsid w:val="009B7117"/>
    <w:rsid w:val="009C34C1"/>
    <w:rsid w:val="009C4D09"/>
    <w:rsid w:val="009C5FF1"/>
    <w:rsid w:val="009D27BE"/>
    <w:rsid w:val="009D32F6"/>
    <w:rsid w:val="009D5205"/>
    <w:rsid w:val="009D6486"/>
    <w:rsid w:val="009D782D"/>
    <w:rsid w:val="009E0B56"/>
    <w:rsid w:val="009E3A95"/>
    <w:rsid w:val="009E4D4C"/>
    <w:rsid w:val="009F48AF"/>
    <w:rsid w:val="009F7CA3"/>
    <w:rsid w:val="00A01541"/>
    <w:rsid w:val="00A05BCC"/>
    <w:rsid w:val="00A103B0"/>
    <w:rsid w:val="00A16DED"/>
    <w:rsid w:val="00A21DEE"/>
    <w:rsid w:val="00A229B2"/>
    <w:rsid w:val="00A23586"/>
    <w:rsid w:val="00A24AD9"/>
    <w:rsid w:val="00A32086"/>
    <w:rsid w:val="00A34B32"/>
    <w:rsid w:val="00A40BC5"/>
    <w:rsid w:val="00A41DED"/>
    <w:rsid w:val="00A42FA3"/>
    <w:rsid w:val="00A54994"/>
    <w:rsid w:val="00A54A2F"/>
    <w:rsid w:val="00A55423"/>
    <w:rsid w:val="00A612A5"/>
    <w:rsid w:val="00A641A7"/>
    <w:rsid w:val="00A74178"/>
    <w:rsid w:val="00A821CE"/>
    <w:rsid w:val="00A91A90"/>
    <w:rsid w:val="00A91E8B"/>
    <w:rsid w:val="00A9224C"/>
    <w:rsid w:val="00A9440D"/>
    <w:rsid w:val="00A95DB1"/>
    <w:rsid w:val="00A96B2B"/>
    <w:rsid w:val="00AA3B1C"/>
    <w:rsid w:val="00AA7C39"/>
    <w:rsid w:val="00AB484C"/>
    <w:rsid w:val="00AC7625"/>
    <w:rsid w:val="00AD4DCB"/>
    <w:rsid w:val="00AE4CA2"/>
    <w:rsid w:val="00AE6938"/>
    <w:rsid w:val="00AF1821"/>
    <w:rsid w:val="00AF3AE3"/>
    <w:rsid w:val="00AF51C6"/>
    <w:rsid w:val="00B04E56"/>
    <w:rsid w:val="00B0681A"/>
    <w:rsid w:val="00B108FB"/>
    <w:rsid w:val="00B1309C"/>
    <w:rsid w:val="00B231FB"/>
    <w:rsid w:val="00B2338F"/>
    <w:rsid w:val="00B246EC"/>
    <w:rsid w:val="00B27B88"/>
    <w:rsid w:val="00B33B5E"/>
    <w:rsid w:val="00B35AA1"/>
    <w:rsid w:val="00B42B6B"/>
    <w:rsid w:val="00B501AA"/>
    <w:rsid w:val="00B521F5"/>
    <w:rsid w:val="00B550B5"/>
    <w:rsid w:val="00B55E2E"/>
    <w:rsid w:val="00B6011D"/>
    <w:rsid w:val="00B66878"/>
    <w:rsid w:val="00B67BDD"/>
    <w:rsid w:val="00B67D4E"/>
    <w:rsid w:val="00B701A7"/>
    <w:rsid w:val="00B70D21"/>
    <w:rsid w:val="00B73214"/>
    <w:rsid w:val="00B7375B"/>
    <w:rsid w:val="00B7676B"/>
    <w:rsid w:val="00B81C4C"/>
    <w:rsid w:val="00B81F54"/>
    <w:rsid w:val="00B8329E"/>
    <w:rsid w:val="00B8392B"/>
    <w:rsid w:val="00B85D98"/>
    <w:rsid w:val="00B8625D"/>
    <w:rsid w:val="00B95D63"/>
    <w:rsid w:val="00BA3D1D"/>
    <w:rsid w:val="00BA6E19"/>
    <w:rsid w:val="00BB0AF3"/>
    <w:rsid w:val="00BB17B6"/>
    <w:rsid w:val="00BB1B85"/>
    <w:rsid w:val="00BB2524"/>
    <w:rsid w:val="00BB3C58"/>
    <w:rsid w:val="00BB74CA"/>
    <w:rsid w:val="00BB7889"/>
    <w:rsid w:val="00BC4516"/>
    <w:rsid w:val="00BC5192"/>
    <w:rsid w:val="00BD05D9"/>
    <w:rsid w:val="00BD311F"/>
    <w:rsid w:val="00BD5D79"/>
    <w:rsid w:val="00BE14C8"/>
    <w:rsid w:val="00BE5335"/>
    <w:rsid w:val="00BE6590"/>
    <w:rsid w:val="00BF049D"/>
    <w:rsid w:val="00BF3490"/>
    <w:rsid w:val="00BF46F5"/>
    <w:rsid w:val="00BF4EFF"/>
    <w:rsid w:val="00BF70E0"/>
    <w:rsid w:val="00BF7140"/>
    <w:rsid w:val="00C01E3B"/>
    <w:rsid w:val="00C04764"/>
    <w:rsid w:val="00C15546"/>
    <w:rsid w:val="00C2163F"/>
    <w:rsid w:val="00C223EB"/>
    <w:rsid w:val="00C22B77"/>
    <w:rsid w:val="00C232D3"/>
    <w:rsid w:val="00C3650B"/>
    <w:rsid w:val="00C42AB5"/>
    <w:rsid w:val="00C45B52"/>
    <w:rsid w:val="00C479C7"/>
    <w:rsid w:val="00C5361D"/>
    <w:rsid w:val="00C5498C"/>
    <w:rsid w:val="00C55C1D"/>
    <w:rsid w:val="00C60893"/>
    <w:rsid w:val="00C60C4F"/>
    <w:rsid w:val="00C64207"/>
    <w:rsid w:val="00C64494"/>
    <w:rsid w:val="00C6475F"/>
    <w:rsid w:val="00C64C6C"/>
    <w:rsid w:val="00C65192"/>
    <w:rsid w:val="00C66AB7"/>
    <w:rsid w:val="00C70337"/>
    <w:rsid w:val="00C84FFD"/>
    <w:rsid w:val="00C86906"/>
    <w:rsid w:val="00C93E12"/>
    <w:rsid w:val="00CA01BB"/>
    <w:rsid w:val="00CA161E"/>
    <w:rsid w:val="00CA16EB"/>
    <w:rsid w:val="00CA462B"/>
    <w:rsid w:val="00CB1241"/>
    <w:rsid w:val="00CB3BF9"/>
    <w:rsid w:val="00CC02B2"/>
    <w:rsid w:val="00CC1839"/>
    <w:rsid w:val="00CC21E7"/>
    <w:rsid w:val="00CC24CD"/>
    <w:rsid w:val="00CC2FB8"/>
    <w:rsid w:val="00CC3B5E"/>
    <w:rsid w:val="00CC4A57"/>
    <w:rsid w:val="00CD0595"/>
    <w:rsid w:val="00CD380B"/>
    <w:rsid w:val="00CE414D"/>
    <w:rsid w:val="00CE4799"/>
    <w:rsid w:val="00CE5A71"/>
    <w:rsid w:val="00CF1D18"/>
    <w:rsid w:val="00CF7AB7"/>
    <w:rsid w:val="00D04C39"/>
    <w:rsid w:val="00D06574"/>
    <w:rsid w:val="00D15428"/>
    <w:rsid w:val="00D23271"/>
    <w:rsid w:val="00D26C4F"/>
    <w:rsid w:val="00D36357"/>
    <w:rsid w:val="00D3664F"/>
    <w:rsid w:val="00D414FB"/>
    <w:rsid w:val="00D54F91"/>
    <w:rsid w:val="00D557AC"/>
    <w:rsid w:val="00D56DB1"/>
    <w:rsid w:val="00D70743"/>
    <w:rsid w:val="00D71F42"/>
    <w:rsid w:val="00D7292E"/>
    <w:rsid w:val="00D86A53"/>
    <w:rsid w:val="00D872FD"/>
    <w:rsid w:val="00D9065B"/>
    <w:rsid w:val="00D91935"/>
    <w:rsid w:val="00D91EE3"/>
    <w:rsid w:val="00D94271"/>
    <w:rsid w:val="00DA6F36"/>
    <w:rsid w:val="00DB3F45"/>
    <w:rsid w:val="00DC082D"/>
    <w:rsid w:val="00DC2129"/>
    <w:rsid w:val="00DC5740"/>
    <w:rsid w:val="00DD02B8"/>
    <w:rsid w:val="00DD0EDE"/>
    <w:rsid w:val="00DD40AC"/>
    <w:rsid w:val="00DE1DA1"/>
    <w:rsid w:val="00DE1EA7"/>
    <w:rsid w:val="00DE45F7"/>
    <w:rsid w:val="00DF5E28"/>
    <w:rsid w:val="00DF6288"/>
    <w:rsid w:val="00DF62F5"/>
    <w:rsid w:val="00E001B0"/>
    <w:rsid w:val="00E10CE4"/>
    <w:rsid w:val="00E1546C"/>
    <w:rsid w:val="00E16886"/>
    <w:rsid w:val="00E3199E"/>
    <w:rsid w:val="00E330D5"/>
    <w:rsid w:val="00E412E2"/>
    <w:rsid w:val="00E50D6D"/>
    <w:rsid w:val="00E62D4E"/>
    <w:rsid w:val="00E67905"/>
    <w:rsid w:val="00E705B9"/>
    <w:rsid w:val="00E71396"/>
    <w:rsid w:val="00E731F4"/>
    <w:rsid w:val="00E75E21"/>
    <w:rsid w:val="00E808CD"/>
    <w:rsid w:val="00E80C4D"/>
    <w:rsid w:val="00E82673"/>
    <w:rsid w:val="00E82998"/>
    <w:rsid w:val="00E857E3"/>
    <w:rsid w:val="00E90006"/>
    <w:rsid w:val="00EA1C40"/>
    <w:rsid w:val="00EA53A2"/>
    <w:rsid w:val="00EA657E"/>
    <w:rsid w:val="00EB6DBB"/>
    <w:rsid w:val="00EC05B9"/>
    <w:rsid w:val="00EC0B8B"/>
    <w:rsid w:val="00EC4988"/>
    <w:rsid w:val="00EC4A4D"/>
    <w:rsid w:val="00EC6535"/>
    <w:rsid w:val="00ED3AB2"/>
    <w:rsid w:val="00ED5510"/>
    <w:rsid w:val="00ED6E1E"/>
    <w:rsid w:val="00ED7198"/>
    <w:rsid w:val="00ED7D07"/>
    <w:rsid w:val="00EE48B3"/>
    <w:rsid w:val="00EF307A"/>
    <w:rsid w:val="00EF42F5"/>
    <w:rsid w:val="00F01507"/>
    <w:rsid w:val="00F02491"/>
    <w:rsid w:val="00F123C0"/>
    <w:rsid w:val="00F13B75"/>
    <w:rsid w:val="00F236DB"/>
    <w:rsid w:val="00F47CAC"/>
    <w:rsid w:val="00F508E3"/>
    <w:rsid w:val="00F509A3"/>
    <w:rsid w:val="00F51902"/>
    <w:rsid w:val="00F63A52"/>
    <w:rsid w:val="00F713C3"/>
    <w:rsid w:val="00F74960"/>
    <w:rsid w:val="00F75143"/>
    <w:rsid w:val="00FA1D0C"/>
    <w:rsid w:val="00FA37BB"/>
    <w:rsid w:val="00FA5B8B"/>
    <w:rsid w:val="00FA66DE"/>
    <w:rsid w:val="00FA714A"/>
    <w:rsid w:val="00FC0BA0"/>
    <w:rsid w:val="00FC2A7C"/>
    <w:rsid w:val="00FD6694"/>
    <w:rsid w:val="00FE1B50"/>
    <w:rsid w:val="00FE2176"/>
    <w:rsid w:val="00FE57F2"/>
    <w:rsid w:val="00FE6BC1"/>
    <w:rsid w:val="00FF0EA9"/>
    <w:rsid w:val="00FF1A3A"/>
    <w:rsid w:val="00FF366D"/>
    <w:rsid w:val="00FF6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ABF80-4C8E-48AD-94D4-7D1CC94A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8F5"/>
    <w:pPr>
      <w:spacing w:after="200" w:line="276" w:lineRule="auto"/>
    </w:pPr>
    <w:rPr>
      <w:rFonts w:ascii="Calibri" w:eastAsia="Calibri" w:hAnsi="Calibri" w:cs="Times New Roman"/>
    </w:rPr>
  </w:style>
  <w:style w:type="paragraph" w:styleId="Ttulo1">
    <w:name w:val="heading 1"/>
    <w:basedOn w:val="Normal"/>
    <w:next w:val="Normal"/>
    <w:link w:val="Ttulo1Car"/>
    <w:qFormat/>
    <w:rsid w:val="00A9224C"/>
    <w:pPr>
      <w:keepNext/>
      <w:numPr>
        <w:numId w:val="2"/>
      </w:numPr>
      <w:spacing w:after="0" w:line="240" w:lineRule="auto"/>
      <w:jc w:val="both"/>
      <w:outlineLvl w:val="0"/>
    </w:pPr>
    <w:rPr>
      <w:rFonts w:ascii="Arial" w:eastAsia="Times New Roman" w:hAnsi="Arial" w:cs="Arial"/>
      <w:b/>
      <w:lang w:val="es-MX" w:eastAsia="es-ES"/>
    </w:rPr>
  </w:style>
  <w:style w:type="paragraph" w:styleId="Ttulo5">
    <w:name w:val="heading 5"/>
    <w:basedOn w:val="Normal"/>
    <w:next w:val="Normal"/>
    <w:link w:val="Ttulo5Car"/>
    <w:uiPriority w:val="9"/>
    <w:semiHidden/>
    <w:unhideWhenUsed/>
    <w:qFormat/>
    <w:rsid w:val="006A4F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53D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853D1"/>
  </w:style>
  <w:style w:type="paragraph" w:styleId="Piedepgina">
    <w:name w:val="footer"/>
    <w:basedOn w:val="Normal"/>
    <w:link w:val="PiedepginaCar"/>
    <w:uiPriority w:val="99"/>
    <w:unhideWhenUsed/>
    <w:rsid w:val="002853D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853D1"/>
  </w:style>
  <w:style w:type="paragraph" w:styleId="Textodeglobo">
    <w:name w:val="Balloon Text"/>
    <w:basedOn w:val="Normal"/>
    <w:link w:val="TextodegloboCar"/>
    <w:uiPriority w:val="99"/>
    <w:semiHidden/>
    <w:unhideWhenUsed/>
    <w:rsid w:val="0053282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2829"/>
    <w:rPr>
      <w:rFonts w:ascii="Segoe UI" w:hAnsi="Segoe UI" w:cs="Segoe UI"/>
      <w:sz w:val="18"/>
      <w:szCs w:val="18"/>
    </w:rPr>
  </w:style>
  <w:style w:type="paragraph" w:styleId="Encabezadodemensaje">
    <w:name w:val="Message Header"/>
    <w:basedOn w:val="Normal"/>
    <w:link w:val="EncabezadodemensajeCar"/>
    <w:rsid w:val="00302036"/>
    <w:pPr>
      <w:keepLines/>
      <w:spacing w:after="0" w:line="415" w:lineRule="atLeast"/>
      <w:ind w:left="1560" w:right="-357" w:hanging="720"/>
    </w:pPr>
    <w:rPr>
      <w:rFonts w:ascii="Times New Roman" w:eastAsia="Times New Roman" w:hAnsi="Times New Roman"/>
      <w:sz w:val="20"/>
      <w:szCs w:val="20"/>
      <w:lang w:val="es-ES" w:eastAsia="es-ES"/>
    </w:rPr>
  </w:style>
  <w:style w:type="character" w:customStyle="1" w:styleId="EncabezadodemensajeCar">
    <w:name w:val="Encabezado de mensaje Car"/>
    <w:basedOn w:val="Fuentedeprrafopredeter"/>
    <w:link w:val="Encabezadodemensaje"/>
    <w:rsid w:val="00302036"/>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
    <w:rsid w:val="00302036"/>
    <w:pPr>
      <w:spacing w:after="120" w:line="240" w:lineRule="auto"/>
      <w:ind w:left="283"/>
    </w:pPr>
    <w:rPr>
      <w:rFonts w:ascii="Times New Roman" w:eastAsia="Times New Roman" w:hAnsi="Times New Roman"/>
      <w:sz w:val="24"/>
      <w:szCs w:val="24"/>
      <w:lang w:val="es-ES" w:eastAsia="es-ES"/>
    </w:rPr>
  </w:style>
  <w:style w:type="character" w:customStyle="1" w:styleId="SangradetextonormalCar">
    <w:name w:val="Sangría de texto normal Car"/>
    <w:basedOn w:val="Fuentedeprrafopredeter"/>
    <w:link w:val="Sangradetextonormal"/>
    <w:rsid w:val="00302036"/>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02036"/>
    <w:pPr>
      <w:spacing w:after="0" w:line="240" w:lineRule="auto"/>
      <w:ind w:left="708"/>
    </w:pPr>
    <w:rPr>
      <w:rFonts w:ascii="Times New Roman" w:eastAsia="Times New Roman" w:hAnsi="Times New Roman"/>
      <w:sz w:val="24"/>
      <w:szCs w:val="24"/>
      <w:lang w:val="es-ES" w:eastAsia="es-ES"/>
    </w:rPr>
  </w:style>
  <w:style w:type="character" w:styleId="Hipervnculo">
    <w:name w:val="Hyperlink"/>
    <w:basedOn w:val="Fuentedeprrafopredeter"/>
    <w:uiPriority w:val="99"/>
    <w:unhideWhenUsed/>
    <w:rsid w:val="00B8625D"/>
    <w:rPr>
      <w:color w:val="0563C1" w:themeColor="hyperlink"/>
      <w:u w:val="single"/>
    </w:rPr>
  </w:style>
  <w:style w:type="table" w:customStyle="1" w:styleId="Tabladelista3-nfasis51">
    <w:name w:val="Tabla de lista 3 - Énfasis 51"/>
    <w:basedOn w:val="Tablanormal"/>
    <w:uiPriority w:val="48"/>
    <w:rsid w:val="00B8625D"/>
    <w:pPr>
      <w:spacing w:after="0" w:line="240" w:lineRule="auto"/>
    </w:pPr>
    <w:rPr>
      <w:rFonts w:ascii="Calibri" w:eastAsia="Calibri" w:hAnsi="Calibri" w:cs="Times New Roman"/>
      <w:sz w:val="20"/>
      <w:szCs w:val="20"/>
      <w:lang w:val="es-NI" w:eastAsia="es-N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customStyle="1" w:styleId="Rtulodeencabezadodemensaje">
    <w:name w:val="Rótulo de encabezado de mensaje"/>
    <w:rsid w:val="00461E5C"/>
    <w:rPr>
      <w:rFonts w:ascii="Arial" w:hAnsi="Arial"/>
      <w:b/>
      <w:spacing w:val="-4"/>
      <w:sz w:val="18"/>
      <w:vertAlign w:val="baseline"/>
    </w:rPr>
  </w:style>
  <w:style w:type="paragraph" w:customStyle="1" w:styleId="Encabezadodemensaje-primera">
    <w:name w:val="Encabezado de mensaje - primera"/>
    <w:basedOn w:val="Encabezadodemensaje"/>
    <w:next w:val="Encabezadodemensaje"/>
    <w:rsid w:val="00461E5C"/>
  </w:style>
  <w:style w:type="paragraph" w:styleId="Textosinformato">
    <w:name w:val="Plain Text"/>
    <w:basedOn w:val="Normal"/>
    <w:link w:val="TextosinformatoCar"/>
    <w:uiPriority w:val="99"/>
    <w:unhideWhenUsed/>
    <w:rsid w:val="007347E1"/>
    <w:pPr>
      <w:spacing w:after="0" w:line="240" w:lineRule="auto"/>
    </w:pPr>
    <w:rPr>
      <w:rFonts w:ascii="Arial" w:eastAsiaTheme="minorHAnsi" w:hAnsi="Arial" w:cs="Arial"/>
      <w:lang w:val="es-NI"/>
    </w:rPr>
  </w:style>
  <w:style w:type="character" w:customStyle="1" w:styleId="TextosinformatoCar">
    <w:name w:val="Texto sin formato Car"/>
    <w:basedOn w:val="Fuentedeprrafopredeter"/>
    <w:link w:val="Textosinformato"/>
    <w:uiPriority w:val="99"/>
    <w:rsid w:val="007347E1"/>
    <w:rPr>
      <w:rFonts w:ascii="Arial" w:hAnsi="Arial" w:cs="Arial"/>
      <w:lang w:val="es-NI"/>
    </w:rPr>
  </w:style>
  <w:style w:type="paragraph" w:styleId="Sinespaciado">
    <w:name w:val="No Spacing"/>
    <w:uiPriority w:val="1"/>
    <w:qFormat/>
    <w:rsid w:val="00E3199E"/>
    <w:pPr>
      <w:spacing w:after="0" w:line="240" w:lineRule="auto"/>
    </w:pPr>
  </w:style>
  <w:style w:type="paragraph" w:styleId="Textoindependiente">
    <w:name w:val="Body Text"/>
    <w:basedOn w:val="Normal"/>
    <w:link w:val="TextoindependienteCar"/>
    <w:uiPriority w:val="99"/>
    <w:unhideWhenUsed/>
    <w:rsid w:val="00A9224C"/>
    <w:pPr>
      <w:spacing w:after="120"/>
    </w:pPr>
  </w:style>
  <w:style w:type="character" w:customStyle="1" w:styleId="TextoindependienteCar">
    <w:name w:val="Texto independiente Car"/>
    <w:basedOn w:val="Fuentedeprrafopredeter"/>
    <w:link w:val="Textoindependiente"/>
    <w:uiPriority w:val="99"/>
    <w:rsid w:val="00A9224C"/>
    <w:rPr>
      <w:rFonts w:ascii="Calibri" w:eastAsia="Calibri" w:hAnsi="Calibri" w:cs="Times New Roman"/>
    </w:rPr>
  </w:style>
  <w:style w:type="character" w:customStyle="1" w:styleId="Ttulo1Car">
    <w:name w:val="Título 1 Car"/>
    <w:basedOn w:val="Fuentedeprrafopredeter"/>
    <w:link w:val="Ttulo1"/>
    <w:rsid w:val="00A9224C"/>
    <w:rPr>
      <w:rFonts w:ascii="Arial" w:eastAsia="Times New Roman" w:hAnsi="Arial" w:cs="Arial"/>
      <w:b/>
      <w:lang w:val="es-MX" w:eastAsia="es-ES"/>
    </w:rPr>
  </w:style>
  <w:style w:type="character" w:customStyle="1" w:styleId="Ttulo5Car">
    <w:name w:val="Título 5 Car"/>
    <w:basedOn w:val="Fuentedeprrafopredeter"/>
    <w:link w:val="Ttulo5"/>
    <w:uiPriority w:val="9"/>
    <w:semiHidden/>
    <w:rsid w:val="006A4FD1"/>
    <w:rPr>
      <w:rFonts w:asciiTheme="majorHAnsi" w:eastAsiaTheme="majorEastAsia" w:hAnsiTheme="majorHAnsi" w:cstheme="majorBidi"/>
      <w:color w:val="2E74B5" w:themeColor="accent1" w:themeShade="BF"/>
    </w:rPr>
  </w:style>
  <w:style w:type="paragraph" w:customStyle="1" w:styleId="Nachovieta">
    <w:name w:val="Nacho viñeta"/>
    <w:basedOn w:val="Textoindependiente"/>
    <w:rsid w:val="006A4FD1"/>
    <w:pPr>
      <w:numPr>
        <w:numId w:val="3"/>
      </w:numPr>
      <w:spacing w:after="0" w:line="240" w:lineRule="auto"/>
      <w:jc w:val="both"/>
    </w:pPr>
    <w:rPr>
      <w:rFonts w:ascii="Times New Roman" w:eastAsia="Times New Roman" w:hAnsi="Times New Roman"/>
      <w:sz w:val="26"/>
      <w:szCs w:val="20"/>
      <w:lang w:val="es-ES_tradnl" w:eastAsia="es-ES"/>
    </w:rPr>
  </w:style>
  <w:style w:type="paragraph" w:styleId="Textonotapie">
    <w:name w:val="footnote text"/>
    <w:basedOn w:val="Normal"/>
    <w:link w:val="TextonotapieCar"/>
    <w:rsid w:val="006A4FD1"/>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6A4FD1"/>
    <w:rPr>
      <w:rFonts w:ascii="Times New Roman" w:eastAsia="Times New Roman" w:hAnsi="Times New Roman" w:cs="Times New Roman"/>
      <w:sz w:val="20"/>
      <w:szCs w:val="20"/>
      <w:lang w:val="es-ES" w:eastAsia="es-ES"/>
    </w:rPr>
  </w:style>
  <w:style w:type="character" w:styleId="Refdenotaalpie">
    <w:name w:val="footnote reference"/>
    <w:basedOn w:val="Fuentedeprrafopredeter"/>
    <w:rsid w:val="006A4FD1"/>
    <w:rPr>
      <w:vertAlign w:val="superscript"/>
    </w:rPr>
  </w:style>
  <w:style w:type="character" w:styleId="Refdecomentario">
    <w:name w:val="annotation reference"/>
    <w:basedOn w:val="Fuentedeprrafopredeter"/>
    <w:uiPriority w:val="99"/>
    <w:semiHidden/>
    <w:unhideWhenUsed/>
    <w:rsid w:val="00025F20"/>
    <w:rPr>
      <w:sz w:val="16"/>
      <w:szCs w:val="16"/>
    </w:rPr>
  </w:style>
  <w:style w:type="paragraph" w:styleId="Textocomentario">
    <w:name w:val="annotation text"/>
    <w:basedOn w:val="Normal"/>
    <w:link w:val="TextocomentarioCar"/>
    <w:uiPriority w:val="99"/>
    <w:semiHidden/>
    <w:unhideWhenUsed/>
    <w:rsid w:val="00025F20"/>
    <w:pPr>
      <w:spacing w:after="160" w:line="240" w:lineRule="auto"/>
    </w:pPr>
    <w:rPr>
      <w:rFonts w:asciiTheme="minorHAnsi" w:eastAsiaTheme="minorHAnsi" w:hAnsiTheme="minorHAnsi" w:cstheme="minorBidi"/>
      <w:sz w:val="20"/>
      <w:szCs w:val="20"/>
      <w:lang w:val="es-NI"/>
    </w:rPr>
  </w:style>
  <w:style w:type="character" w:customStyle="1" w:styleId="TextocomentarioCar">
    <w:name w:val="Texto comentario Car"/>
    <w:basedOn w:val="Fuentedeprrafopredeter"/>
    <w:link w:val="Textocomentario"/>
    <w:uiPriority w:val="99"/>
    <w:semiHidden/>
    <w:rsid w:val="00025F20"/>
    <w:rPr>
      <w:sz w:val="20"/>
      <w:szCs w:val="20"/>
      <w:lang w:val="es-NI"/>
    </w:rPr>
  </w:style>
  <w:style w:type="paragraph" w:styleId="Subttulo">
    <w:name w:val="Subtitle"/>
    <w:basedOn w:val="Normal"/>
    <w:next w:val="Normal"/>
    <w:link w:val="SubttuloCar"/>
    <w:uiPriority w:val="11"/>
    <w:qFormat/>
    <w:rsid w:val="00795CA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795CAE"/>
    <w:rPr>
      <w:rFonts w:eastAsiaTheme="minorEastAsia"/>
      <w:color w:val="5A5A5A" w:themeColor="text1" w:themeTint="A5"/>
      <w:spacing w:val="15"/>
    </w:rPr>
  </w:style>
  <w:style w:type="paragraph" w:styleId="TDC1">
    <w:name w:val="toc 1"/>
    <w:basedOn w:val="Normal"/>
    <w:next w:val="Normal"/>
    <w:autoRedefine/>
    <w:uiPriority w:val="39"/>
    <w:unhideWhenUsed/>
    <w:rsid w:val="00E001B0"/>
    <w:pPr>
      <w:tabs>
        <w:tab w:val="left" w:pos="567"/>
        <w:tab w:val="right" w:leader="dot" w:pos="9508"/>
      </w:tabs>
      <w:spacing w:after="100"/>
      <w:ind w:left="567" w:hanging="567"/>
    </w:pPr>
    <w:rPr>
      <w:noProof/>
    </w:rPr>
  </w:style>
  <w:style w:type="paragraph" w:styleId="TtuloTDC">
    <w:name w:val="TOC Heading"/>
    <w:basedOn w:val="Ttulo1"/>
    <w:next w:val="Normal"/>
    <w:uiPriority w:val="39"/>
    <w:semiHidden/>
    <w:unhideWhenUsed/>
    <w:qFormat/>
    <w:rsid w:val="00065475"/>
    <w:pPr>
      <w:keepLines/>
      <w:numPr>
        <w:numId w:val="0"/>
      </w:numPr>
      <w:spacing w:before="480" w:line="276" w:lineRule="auto"/>
      <w:jc w:val="left"/>
      <w:outlineLvl w:val="9"/>
    </w:pPr>
    <w:rPr>
      <w:rFonts w:asciiTheme="majorHAnsi" w:eastAsiaTheme="majorEastAsia" w:hAnsiTheme="majorHAnsi" w:cstheme="majorBidi"/>
      <w:bCs/>
      <w:color w:val="2E74B5" w:themeColor="accent1" w:themeShade="BF"/>
      <w:sz w:val="28"/>
      <w:szCs w:val="28"/>
      <w:lang w:val="es-NI" w:eastAsia="es-NI"/>
    </w:rPr>
  </w:style>
  <w:style w:type="table" w:styleId="Tablaconcuadrcula">
    <w:name w:val="Table Grid"/>
    <w:basedOn w:val="Tablanormal"/>
    <w:uiPriority w:val="59"/>
    <w:rsid w:val="0056523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ely2">
    <w:name w:val="Arely2"/>
    <w:basedOn w:val="Normal"/>
    <w:autoRedefine/>
    <w:qFormat/>
    <w:rsid w:val="00565239"/>
    <w:pPr>
      <w:keepNext/>
      <w:keepLines/>
      <w:numPr>
        <w:ilvl w:val="1"/>
        <w:numId w:val="18"/>
      </w:numPr>
      <w:spacing w:after="0" w:line="240" w:lineRule="auto"/>
      <w:jc w:val="both"/>
      <w:outlineLvl w:val="0"/>
    </w:pPr>
    <w:rPr>
      <w:rFonts w:ascii="Arial" w:eastAsiaTheme="minorHAnsi" w:hAnsi="Arial" w:cs="Arial"/>
      <w:b/>
      <w:bCs/>
      <w:noProof/>
      <w:lang w:val="es-ES_tradnl" w:eastAsia="es-ES"/>
    </w:rPr>
  </w:style>
  <w:style w:type="paragraph" w:customStyle="1" w:styleId="Romanos">
    <w:name w:val="Romanos"/>
    <w:basedOn w:val="Ttulo1"/>
    <w:link w:val="RomanosCar"/>
    <w:qFormat/>
    <w:rsid w:val="004D4995"/>
  </w:style>
  <w:style w:type="paragraph" w:customStyle="1" w:styleId="Numerales">
    <w:name w:val="Numerales"/>
    <w:basedOn w:val="Ttulo1"/>
    <w:link w:val="NumeralesCar"/>
    <w:qFormat/>
    <w:rsid w:val="000154E6"/>
    <w:pPr>
      <w:numPr>
        <w:numId w:val="22"/>
      </w:numPr>
    </w:pPr>
  </w:style>
  <w:style w:type="character" w:customStyle="1" w:styleId="RomanosCar">
    <w:name w:val="Romanos Car"/>
    <w:basedOn w:val="Ttulo1Car"/>
    <w:link w:val="Romanos"/>
    <w:rsid w:val="004D4995"/>
    <w:rPr>
      <w:rFonts w:ascii="Arial" w:eastAsia="Times New Roman" w:hAnsi="Arial" w:cs="Arial"/>
      <w:b/>
      <w:lang w:val="es-MX" w:eastAsia="es-ES"/>
    </w:rPr>
  </w:style>
  <w:style w:type="character" w:customStyle="1" w:styleId="NumeralesCar">
    <w:name w:val="Numerales Car"/>
    <w:basedOn w:val="Ttulo1Car"/>
    <w:link w:val="Numerales"/>
    <w:rsid w:val="000154E6"/>
    <w:rPr>
      <w:rFonts w:ascii="Arial" w:eastAsia="Times New Roman" w:hAnsi="Arial" w:cs="Arial"/>
      <w:b/>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961222">
      <w:bodyDiv w:val="1"/>
      <w:marLeft w:val="0"/>
      <w:marRight w:val="0"/>
      <w:marTop w:val="0"/>
      <w:marBottom w:val="0"/>
      <w:divBdr>
        <w:top w:val="none" w:sz="0" w:space="0" w:color="auto"/>
        <w:left w:val="none" w:sz="0" w:space="0" w:color="auto"/>
        <w:bottom w:val="none" w:sz="0" w:space="0" w:color="auto"/>
        <w:right w:val="none" w:sz="0" w:space="0" w:color="auto"/>
      </w:divBdr>
    </w:div>
    <w:div w:id="611136843">
      <w:bodyDiv w:val="1"/>
      <w:marLeft w:val="0"/>
      <w:marRight w:val="0"/>
      <w:marTop w:val="0"/>
      <w:marBottom w:val="0"/>
      <w:divBdr>
        <w:top w:val="none" w:sz="0" w:space="0" w:color="auto"/>
        <w:left w:val="none" w:sz="0" w:space="0" w:color="auto"/>
        <w:bottom w:val="none" w:sz="0" w:space="0" w:color="auto"/>
        <w:right w:val="none" w:sz="0" w:space="0" w:color="auto"/>
      </w:divBdr>
    </w:div>
    <w:div w:id="629172578">
      <w:bodyDiv w:val="1"/>
      <w:marLeft w:val="0"/>
      <w:marRight w:val="0"/>
      <w:marTop w:val="0"/>
      <w:marBottom w:val="0"/>
      <w:divBdr>
        <w:top w:val="none" w:sz="0" w:space="0" w:color="auto"/>
        <w:left w:val="none" w:sz="0" w:space="0" w:color="auto"/>
        <w:bottom w:val="none" w:sz="0" w:space="0" w:color="auto"/>
        <w:right w:val="none" w:sz="0" w:space="0" w:color="auto"/>
      </w:divBdr>
    </w:div>
    <w:div w:id="1204714405">
      <w:bodyDiv w:val="1"/>
      <w:marLeft w:val="0"/>
      <w:marRight w:val="0"/>
      <w:marTop w:val="0"/>
      <w:marBottom w:val="0"/>
      <w:divBdr>
        <w:top w:val="none" w:sz="0" w:space="0" w:color="auto"/>
        <w:left w:val="none" w:sz="0" w:space="0" w:color="auto"/>
        <w:bottom w:val="none" w:sz="0" w:space="0" w:color="auto"/>
        <w:right w:val="none" w:sz="0" w:space="0" w:color="auto"/>
      </w:divBdr>
    </w:div>
    <w:div w:id="185264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3045859E5B74E40862324B3DA5A51B1" ma:contentTypeVersion="0" ma:contentTypeDescription="Crear nuevo documento." ma:contentTypeScope="" ma:versionID="d58b747ba315d522d297051f81fad28a">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A897D-DCC8-419E-BCD6-B87287F1A5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4697C3-0392-43BF-99CD-91E359888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3F888D-53FA-4262-AE5B-BAB5969A6244}">
  <ds:schemaRefs>
    <ds:schemaRef ds:uri="http://schemas.microsoft.com/sharepoint/v3/contenttype/forms"/>
  </ds:schemaRefs>
</ds:datastoreItem>
</file>

<file path=customXml/itemProps4.xml><?xml version="1.0" encoding="utf-8"?>
<ds:datastoreItem xmlns:ds="http://schemas.openxmlformats.org/officeDocument/2006/customXml" ds:itemID="{EB4788F1-3867-4EE9-A2A8-BB415D54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17</Pages>
  <Words>4980</Words>
  <Characters>27396</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 José Saballos Velásquez</dc:creator>
  <cp:lastModifiedBy>Donald A. Montealegre Gómez</cp:lastModifiedBy>
  <cp:revision>15</cp:revision>
  <cp:lastPrinted>2019-11-11T17:45:00Z</cp:lastPrinted>
  <dcterms:created xsi:type="dcterms:W3CDTF">2018-06-12T20:33:00Z</dcterms:created>
  <dcterms:modified xsi:type="dcterms:W3CDTF">2019-11-11T17:46:00Z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0x01010083045859E5B74E40862324B3DA5A51B1</vt:lpwstr>
  </property>
</Properties>
</file>